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jc w:val="center"/>
        <w:rPr>
          <w:rFonts w:hint="eastAsia"/>
        </w:rPr>
      </w:pPr>
    </w:p>
    <w:p>
      <w:pPr>
        <w:pStyle w:val="33"/>
        <w:jc w:val="center"/>
        <w:rPr>
          <w:rFonts w:hint="eastAsia" w:ascii="宋体" w:hAnsi="宋体" w:eastAsia="宋体"/>
          <w:szCs w:val="36"/>
        </w:rPr>
      </w:pPr>
    </w:p>
    <w:p>
      <w:pPr>
        <w:pStyle w:val="33"/>
        <w:jc w:val="center"/>
        <w:rPr>
          <w:rFonts w:hint="eastAsia" w:ascii="宋体" w:hAnsi="宋体" w:eastAsia="宋体"/>
          <w:b/>
          <w:szCs w:val="36"/>
        </w:rPr>
      </w:pPr>
    </w:p>
    <w:p>
      <w:pPr>
        <w:pStyle w:val="33"/>
        <w:jc w:val="center"/>
        <w:rPr>
          <w:rFonts w:hint="eastAsia" w:ascii="宋体" w:hAnsi="宋体" w:eastAsia="宋体"/>
          <w:b/>
          <w:szCs w:val="36"/>
        </w:rPr>
      </w:pPr>
    </w:p>
    <w:p>
      <w:pPr>
        <w:pStyle w:val="33"/>
        <w:jc w:val="center"/>
        <w:rPr>
          <w:rFonts w:hint="eastAsia" w:ascii="方正小标宋_GBK" w:hAnsi="黑体" w:eastAsia="方正小标宋_GBK"/>
          <w:bCs/>
          <w:sz w:val="52"/>
          <w:szCs w:val="52"/>
        </w:rPr>
      </w:pPr>
      <w:r>
        <w:rPr>
          <w:rFonts w:hint="eastAsia" w:ascii="方正小标宋_GBK" w:hAnsi="黑体" w:eastAsia="方正小标宋_GBK"/>
          <w:bCs/>
          <w:sz w:val="52"/>
          <w:szCs w:val="52"/>
        </w:rPr>
        <w:t>长治市上党区停车设施专项规划</w:t>
      </w:r>
    </w:p>
    <w:p>
      <w:pPr>
        <w:pStyle w:val="33"/>
        <w:jc w:val="center"/>
        <w:rPr>
          <w:rFonts w:hint="eastAsia" w:ascii="方正小标宋_GBK" w:hAnsi="黑体" w:eastAsia="方正小标宋_GBK"/>
          <w:bCs/>
          <w:sz w:val="52"/>
          <w:szCs w:val="52"/>
        </w:rPr>
      </w:pPr>
      <w:r>
        <w:rPr>
          <w:rFonts w:hint="eastAsia" w:ascii="方正小标宋_GBK" w:hAnsi="黑体" w:eastAsia="方正小标宋_GBK"/>
          <w:bCs/>
          <w:sz w:val="52"/>
          <w:szCs w:val="52"/>
        </w:rPr>
        <w:t>（2021-2035年）</w:t>
      </w:r>
    </w:p>
    <w:p>
      <w:pPr>
        <w:pStyle w:val="33"/>
        <w:jc w:val="center"/>
        <w:rPr>
          <w:rFonts w:hint="eastAsia"/>
        </w:rPr>
      </w:pPr>
    </w:p>
    <w:p>
      <w:pPr>
        <w:pStyle w:val="33"/>
        <w:jc w:val="center"/>
        <w:rPr>
          <w:rFonts w:hint="eastAsia" w:ascii="方正小标宋_GBK" w:hAnsi="黑体" w:eastAsia="方正小标宋_GBK"/>
          <w:bCs/>
          <w:sz w:val="52"/>
          <w:szCs w:val="52"/>
        </w:rPr>
      </w:pPr>
    </w:p>
    <w:p>
      <w:pPr>
        <w:pStyle w:val="33"/>
        <w:jc w:val="center"/>
        <w:rPr>
          <w:rFonts w:hint="eastAsia" w:ascii="方正小标宋_GBK" w:hAnsi="黑体" w:eastAsia="方正小标宋_GBK"/>
          <w:bCs/>
          <w:sz w:val="52"/>
          <w:szCs w:val="52"/>
        </w:rPr>
      </w:pPr>
    </w:p>
    <w:p>
      <w:pPr>
        <w:pStyle w:val="33"/>
        <w:jc w:val="center"/>
        <w:rPr>
          <w:rFonts w:ascii="方正小标宋_GBK" w:hAnsi="Times New Roman" w:eastAsia="方正小标宋_GBK"/>
          <w:bCs/>
          <w:sz w:val="48"/>
          <w:szCs w:val="48"/>
        </w:rPr>
      </w:pPr>
      <w:r>
        <w:rPr>
          <w:rFonts w:hint="eastAsia" w:ascii="方正小标宋_GBK" w:hAnsi="Times New Roman" w:eastAsia="方正小标宋_GBK"/>
          <w:bCs/>
          <w:sz w:val="48"/>
          <w:szCs w:val="48"/>
        </w:rPr>
        <w:t>公示稿</w:t>
      </w: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 w:val="48"/>
          <w:szCs w:val="48"/>
        </w:rPr>
      </w:pPr>
    </w:p>
    <w:p>
      <w:pPr>
        <w:pStyle w:val="33"/>
        <w:jc w:val="center"/>
        <w:rPr>
          <w:rFonts w:ascii="方正小标宋_GBK" w:hAnsi="Times New Roman" w:eastAsia="方正小标宋_GBK"/>
          <w:bCs/>
          <w:szCs w:val="36"/>
        </w:rPr>
      </w:pPr>
      <w:r>
        <w:rPr>
          <w:rFonts w:hint="eastAsia" w:ascii="方正小标宋_GBK" w:hAnsi="Times New Roman" w:eastAsia="方正小标宋_GBK"/>
          <w:bCs/>
          <w:szCs w:val="36"/>
        </w:rPr>
        <w:t>长治市上党区住房和城乡建设局</w:t>
      </w:r>
    </w:p>
    <w:p>
      <w:pPr>
        <w:pStyle w:val="33"/>
        <w:jc w:val="center"/>
        <w:rPr>
          <w:rFonts w:ascii="方正小标宋_GBK" w:hAnsi="Times New Roman" w:eastAsia="方正小标宋_GBK"/>
          <w:bCs/>
          <w:szCs w:val="36"/>
        </w:rPr>
        <w:sectPr>
          <w:headerReference r:id="rId6" w:type="first"/>
          <w:footerReference r:id="rId9" w:type="first"/>
          <w:footerReference r:id="rId7" w:type="default"/>
          <w:headerReference r:id="rId5" w:type="even"/>
          <w:footerReference r:id="rId8" w:type="even"/>
          <w:pgSz w:w="11906" w:h="16838"/>
          <w:pgMar w:top="1440" w:right="1800" w:bottom="1440" w:left="1800" w:header="851" w:footer="992" w:gutter="0"/>
          <w:cols w:space="425" w:num="1"/>
          <w:docGrid w:type="lines" w:linePitch="312" w:charSpace="0"/>
        </w:sectPr>
      </w:pPr>
      <w:r>
        <w:rPr>
          <w:rFonts w:hint="eastAsia" w:ascii="方正小标宋_GBK" w:hAnsi="Times New Roman" w:eastAsia="方正小标宋_GBK"/>
          <w:bCs/>
          <w:szCs w:val="36"/>
        </w:rPr>
        <w:t>2024年7月</w:t>
      </w:r>
    </w:p>
    <w:p>
      <w:pPr>
        <w:pStyle w:val="4"/>
        <w:numPr>
          <w:ilvl w:val="0"/>
          <w:numId w:val="0"/>
        </w:numPr>
        <w:ind w:leftChars="0"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一、</w:t>
      </w:r>
      <w:r>
        <w:rPr>
          <w:rFonts w:hint="eastAsia" w:ascii="黑体" w:hAnsi="黑体" w:eastAsia="黑体" w:cs="黑体"/>
          <w:b w:val="0"/>
          <w:bCs w:val="0"/>
          <w:sz w:val="32"/>
          <w:szCs w:val="32"/>
        </w:rPr>
        <w:t>规划范围</w:t>
      </w:r>
    </w:p>
    <w:p>
      <w:pPr>
        <w:ind w:firstLine="6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本次规划范围与《上党区国土空间总体规划（2021-2035年）》确定的中心城区范围一致，包括老城区和高铁片区范围，面积约14.52平方公里。</w:t>
      </w:r>
    </w:p>
    <w:p>
      <w:pPr>
        <w:pStyle w:val="4"/>
        <w:numPr>
          <w:ilvl w:val="0"/>
          <w:numId w:val="0"/>
        </w:numPr>
        <w:ind w:leftChars="0"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rPr>
        <w:t>规划期限</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本次规划期限为2021年至2035年，其中近期至2025年，远期至2035年。</w:t>
      </w:r>
    </w:p>
    <w:p>
      <w:pPr>
        <w:ind w:left="0" w:leftChars="0"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规划基础</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一</w:t>
      </w:r>
      <w:r>
        <w:rPr>
          <w:rFonts w:hint="eastAsia" w:ascii="仿宋_GB2312" w:hAnsi="仿宋_GB2312" w:eastAsia="仿宋_GB2312" w:cs="仿宋_GB2312"/>
          <w:b/>
          <w:bCs/>
          <w:sz w:val="32"/>
          <w:szCs w:val="32"/>
        </w:rPr>
        <w:t>）现状基础</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党区目前已形成了由配建停车位、公共停车场和路内停车位构成的城市停车设施的综合体系。上党区中心城区共有停车位12445个，其中建筑物配建停车位8702个，占比为70%；公共停车位1445个，占比约12%；路内停车位2298个，占比为18%。</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公共停车场共有19个，停车位1445个，主要集中在迎宾街两侧，均为地面停车位。</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路内停车位2298个，分布在19条道路上，其中6条主干路、6条次干路、7条支路，在体育东街、黎都街、迎宾街、兴盛路分布较多。</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目前，上党区中心城区除区中医院停车场外，其余停车场、路内停车位均不收费。19个公共停车场分属不同管理单位。</w:t>
      </w:r>
    </w:p>
    <w:p>
      <w:pPr>
        <w:ind w:firstLine="0" w:firstLineChars="0"/>
        <w:jc w:val="center"/>
        <w:rPr>
          <w:rFonts w:hint="eastAsia"/>
        </w:rPr>
      </w:pPr>
      <w:r>
        <w:drawing>
          <wp:inline distT="0" distB="0" distL="0" distR="0">
            <wp:extent cx="5039360" cy="6169660"/>
            <wp:effectExtent l="0" t="0" r="8890" b="2540"/>
            <wp:docPr id="152200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0514"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t="8692" b="4821"/>
                    <a:stretch>
                      <a:fillRect/>
                    </a:stretch>
                  </pic:blipFill>
                  <pic:spPr>
                    <a:xfrm>
                      <a:off x="0" y="0"/>
                      <a:ext cx="5040000" cy="6170996"/>
                    </a:xfrm>
                    <a:prstGeom prst="rect">
                      <a:avLst/>
                    </a:prstGeom>
                    <a:noFill/>
                    <a:ln>
                      <a:noFill/>
                    </a:ln>
                  </pic:spPr>
                </pic:pic>
              </a:graphicData>
            </a:graphic>
          </wp:inline>
        </w:drawing>
      </w:r>
    </w:p>
    <w:p>
      <w:pPr>
        <w:pStyle w:val="7"/>
        <w:ind w:firstLine="0" w:firstLineChars="0"/>
        <w:jc w:val="center"/>
        <w:rPr>
          <w:rFonts w:hint="eastAsia"/>
        </w:rPr>
      </w:pPr>
      <w:r>
        <w:rPr>
          <w:rFonts w:hint="eastAsia"/>
        </w:rPr>
        <w:t>图1 中心城区停车设施现状图</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二</w:t>
      </w:r>
      <w:r>
        <w:rPr>
          <w:rFonts w:hint="eastAsia" w:ascii="仿宋_GB2312" w:hAnsi="仿宋_GB2312" w:eastAsia="仿宋_GB2312" w:cs="仿宋_GB2312"/>
          <w:b/>
          <w:bCs/>
          <w:sz w:val="32"/>
          <w:szCs w:val="32"/>
        </w:rPr>
        <w:t>）核心问题</w:t>
      </w:r>
    </w:p>
    <w:p>
      <w:pPr>
        <w:ind w:firstLine="6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rPr>
        <w:t>局部区域停车供需失衡，分布不均。现状停车泊位缺口约为10217个，缺口较大。老城区部分学校、医院周边停车位不足，外围地区新开发用地较多，停车泊位相对充足。</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供给结构失调，路内停车位设置不合理。中心城区停车位以配建为主，占总停车位的70%，其次是路内停车位，占总停车位的18%，现状路内停车依赖程度过高。部分路内停车泊位设置不满足山西省地方标准《城市停车场（库）设施配置标准》要求。</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rPr>
        <w:t>管理主体、管理体制机制不明确。现状停车场规、建、管由多个部门分别管理，缺乏协调统管。部分老旧小区配建车位不完善，开发商只售不租导致大量车位闲置。停车场无统一收费标准。</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停车秩序混乱，执法力度有待加强。部分停车设施利用效率低，车辆停车不入位、不进库，市民规范停车意识不强，个别车辆长期占用车位，公共资源不能有效利用。</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停车设施利用效率低，智慧化水平有待提高。监控能力和管理效果较弱，缺乏智能停车管理平台。</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660" w:lineRule="exact"/>
        <w:ind w:leftChars="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rPr>
        <w:t>停车需求预测</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bookmarkStart w:id="0" w:name="_Hlk172107723"/>
      <w:r>
        <w:rPr>
          <w:rFonts w:hint="eastAsia" w:ascii="仿宋_GB2312" w:hAnsi="仿宋_GB2312" w:eastAsia="仿宋_GB2312" w:cs="仿宋_GB2312"/>
          <w:sz w:val="32"/>
          <w:szCs w:val="32"/>
        </w:rPr>
        <w:t>机动车停车需求预测包括基本车位和出行车位预测两部分。</w:t>
      </w:r>
    </w:p>
    <w:bookmarkEnd w:id="0"/>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一</w:t>
      </w:r>
      <w:r>
        <w:rPr>
          <w:rFonts w:hint="eastAsia" w:ascii="仿宋_GB2312" w:hAnsi="仿宋_GB2312" w:eastAsia="仿宋_GB2312" w:cs="仿宋_GB2312"/>
          <w:b/>
          <w:bCs/>
          <w:sz w:val="32"/>
          <w:szCs w:val="32"/>
        </w:rPr>
        <w:t>）基本车位需求预测</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rPr>
        <w:t>机动车保有量预测法：按照小汽车“一车一位”的要求，根据</w:t>
      </w:r>
      <w:r>
        <w:rPr>
          <w:rFonts w:hint="eastAsia" w:ascii="仿宋_GB2312" w:hAnsi="仿宋_GB2312" w:eastAsia="仿宋_GB2312" w:cs="仿宋_GB2312"/>
          <w:sz w:val="32"/>
          <w:szCs w:val="32"/>
          <w:lang w:val="zh-CN"/>
        </w:rPr>
        <w:t>全区</w:t>
      </w:r>
      <w:r>
        <w:rPr>
          <w:rFonts w:hint="eastAsia" w:ascii="仿宋_GB2312" w:hAnsi="仿宋_GB2312" w:eastAsia="仿宋_GB2312" w:cs="仿宋_GB2312"/>
          <w:sz w:val="32"/>
          <w:szCs w:val="32"/>
        </w:rPr>
        <w:t>私人小汽车保有量预测结果，按规划2035年中心城区人口比例，考虑苏店镇、郝家庄镇部分小汽车外流，确定中心城区需基本停车位32012个。</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人口规模预测法：根据《城市停车规划规范》要求，城市公共停车场规划用地总规模可按规划城市人口核算，人均城市公共停车场占地规模宜控制在0.5m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-1.0m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。根据《城市停车场（库）设施配置标准》要求，公共停车场规模应控制在城市车位供给总量的15%以内，地面机动车停车场标准车停放面积宜采用25m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-30m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。本次规划按公共停车场的停车位占总量的10%，人均公共停车场占地规模为1.0m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，单个标准车停放面积为30m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计算，预测</w:t>
      </w:r>
      <w:bookmarkStart w:id="1" w:name="_Hlk172107843"/>
      <w:r>
        <w:rPr>
          <w:rFonts w:hint="eastAsia" w:ascii="仿宋_GB2312" w:hAnsi="仿宋_GB2312" w:eastAsia="仿宋_GB2312" w:cs="仿宋_GB2312"/>
          <w:sz w:val="32"/>
          <w:szCs w:val="32"/>
        </w:rPr>
        <w:t>到2035年</w:t>
      </w:r>
      <w:bookmarkEnd w:id="1"/>
      <w:r>
        <w:rPr>
          <w:rFonts w:hint="eastAsia" w:ascii="仿宋_GB2312" w:hAnsi="仿宋_GB2312" w:eastAsia="仿宋_GB2312" w:cs="仿宋_GB2312"/>
          <w:sz w:val="32"/>
          <w:szCs w:val="32"/>
        </w:rPr>
        <w:t>中心城区需基本停车位46667个。</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rPr>
        <w:t>综合以上两种方法预测结果，预测到2035年，上党区中心城区基本车位需求为39340个。</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二</w:t>
      </w:r>
      <w:r>
        <w:rPr>
          <w:rFonts w:hint="eastAsia" w:ascii="仿宋_GB2312" w:hAnsi="仿宋_GB2312" w:eastAsia="仿宋_GB2312" w:cs="仿宋_GB2312"/>
          <w:b/>
          <w:bCs/>
          <w:sz w:val="32"/>
          <w:szCs w:val="32"/>
        </w:rPr>
        <w:t>）出行车位需求预测</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rPr>
        <w:t>经验借鉴法：通过借鉴类似城市的机动车拥有量与停车泊位之间的关系来估算出行车位需求，按出行车位占基本车位的30%预测，到2035年，中心城区需出行停车位11802个。</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用地类别法：根据用地性质及容积率计算出不同用地的建筑面积，停车需求生成率及周转率指标参照其他对标城市的经验确定。预测到2035年，中心城区需出行停车位30068个。</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rPr>
        <w:t>综合以上两种方法预测结果，预测到2035年，上党区中心城区出行车位需求为20935个。</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三</w:t>
      </w:r>
      <w:r>
        <w:rPr>
          <w:rFonts w:hint="eastAsia" w:ascii="仿宋_GB2312" w:hAnsi="仿宋_GB2312" w:eastAsia="仿宋_GB2312" w:cs="仿宋_GB2312"/>
          <w:b/>
          <w:bCs/>
          <w:sz w:val="32"/>
          <w:szCs w:val="32"/>
        </w:rPr>
        <w:t>）停车位需求总量预测</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综合基本车位和出行车位需求预测结果，确定上党区2035年城市停车位总需求为60275个。</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660" w:lineRule="exact"/>
        <w:ind w:leftChars="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五、</w:t>
      </w:r>
      <w:r>
        <w:rPr>
          <w:rFonts w:hint="eastAsia" w:ascii="黑体" w:hAnsi="黑体" w:eastAsia="黑体" w:cs="黑体"/>
          <w:b w:val="0"/>
          <w:bCs w:val="0"/>
          <w:sz w:val="32"/>
          <w:szCs w:val="32"/>
        </w:rPr>
        <w:t>规划目标和策略</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一</w:t>
      </w:r>
      <w:r>
        <w:rPr>
          <w:rFonts w:hint="eastAsia" w:ascii="仿宋_GB2312" w:hAnsi="仿宋_GB2312" w:eastAsia="仿宋_GB2312" w:cs="仿宋_GB2312"/>
          <w:b/>
          <w:bCs/>
          <w:sz w:val="32"/>
          <w:szCs w:val="32"/>
        </w:rPr>
        <w:t>）发展目标</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rPr>
        <w:t>停车供给目标：停车供应以配建为主、路外为辅、路内为补充，体现区域差别，形成中心区适量、外围区足量的停车系统。</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停车结构目标：建筑物配建停车供给占比≥85%，公共停车场供给占比10-15%，路内停车位供给占比≤5%。</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rPr>
        <w:t>停车阶段目标：近期以加大停车设施供给力度为主，交通需求管理为辅；远期以控制停车需求为主，停车设施供给为辅。</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二</w:t>
      </w:r>
      <w:r>
        <w:rPr>
          <w:rFonts w:hint="eastAsia" w:ascii="仿宋_GB2312" w:hAnsi="仿宋_GB2312" w:eastAsia="仿宋_GB2312" w:cs="仿宋_GB2312"/>
          <w:b/>
          <w:bCs/>
          <w:sz w:val="32"/>
          <w:szCs w:val="32"/>
        </w:rPr>
        <w:t>）总体发展策略</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rPr>
        <w:t>策略一：优化停车泊位供给，实行差异化停车供应</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挖掘存量空间，充分利用广场、绿地等地下空间建设停车场；鼓励政府机关、企事业单位和居住区利用自有用地或自有产权停车位，将各种平面停车场改建成为机械式立体停车场；积极引导政府机关、公共机构和企事业单位内部停车场错时对外开放；推动小区建筑退让红线区域增设停车泊位；结合城改用地增加停车位；采用差异化停车设施供应，根据不同需求调整各区停车设施供应。</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策略二：合理规划停车供应结构</w:t>
      </w:r>
    </w:p>
    <w:p>
      <w:pPr>
        <w:keepNext w:val="0"/>
        <w:keepLines w:val="0"/>
        <w:pageBreakBefore w:val="0"/>
        <w:widowControl w:val="0"/>
        <w:kinsoku/>
        <w:wordWrap/>
        <w:overflowPunct/>
        <w:topLinePunct w:val="0"/>
        <w:autoSpaceDE/>
        <w:autoSpaceDN/>
        <w:bidi w:val="0"/>
        <w:adjustRightInd/>
        <w:snapToGrid/>
        <w:spacing w:line="660" w:lineRule="exact"/>
        <w:ind w:firstLine="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停车供给的结构比例进行优化，实现停车发展结构目标。以建筑物配建停车位为主，供给将占到总供给的85%以上，鼓励和促进与建筑开发相配套的停车设施建设；公共停车场为补充，供给占比控制在10%至15%之间，以满足公共停车需求；路内停车位严格控制其供给比例不超过5%，以减少对道路通行的影响。</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rPr>
        <w:t>策略三：采用差别化鼓励政策，促进停车产业化发展</w:t>
      </w:r>
    </w:p>
    <w:p>
      <w:pPr>
        <w:keepNext w:val="0"/>
        <w:keepLines w:val="0"/>
        <w:pageBreakBefore w:val="0"/>
        <w:widowControl w:val="0"/>
        <w:kinsoku/>
        <w:wordWrap/>
        <w:overflowPunct/>
        <w:topLinePunct w:val="0"/>
        <w:autoSpaceDE/>
        <w:autoSpaceDN/>
        <w:bidi w:val="0"/>
        <w:adjustRightInd/>
        <w:snapToGrid/>
        <w:spacing w:line="640" w:lineRule="exact"/>
        <w:ind w:firstLine="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差异化停车配建指标；制定相关收费标准和管理规范，对于不同区域停车服务实施差异化收费标准；建立健全停车设施建设和运营管理标准规范；积极引导社会资本参与建设各类停车设施；通过展示租赁的经济效益、强调社会效益和企业形象、提出互利共赢合作方案、业主参与和沟通、法律和政策依据、增加租赁吸引力等方面与开发商进行沟通协调，开放小区租赁停车位，并制定小区地下停车场管理办法。</w:t>
      </w:r>
    </w:p>
    <w:p>
      <w:pPr>
        <w:keepNext w:val="0"/>
        <w:keepLines w:val="0"/>
        <w:pageBreakBefore w:val="0"/>
        <w:widowControl w:val="0"/>
        <w:kinsoku/>
        <w:wordWrap/>
        <w:overflowPunct/>
        <w:topLinePunct w:val="0"/>
        <w:autoSpaceDE/>
        <w:autoSpaceDN/>
        <w:bidi w:val="0"/>
        <w:adjustRightInd/>
        <w:snapToGrid/>
        <w:spacing w:line="6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策略四：提升停车服务管理水平</w:t>
      </w:r>
    </w:p>
    <w:p>
      <w:pPr>
        <w:keepNext w:val="0"/>
        <w:keepLines w:val="0"/>
        <w:pageBreakBefore w:val="0"/>
        <w:widowControl w:val="0"/>
        <w:kinsoku/>
        <w:wordWrap/>
        <w:overflowPunct/>
        <w:topLinePunct w:val="0"/>
        <w:autoSpaceDE/>
        <w:autoSpaceDN/>
        <w:bidi w:val="0"/>
        <w:adjustRightInd/>
        <w:snapToGrid/>
        <w:spacing w:line="640" w:lineRule="exact"/>
        <w:ind w:firstLine="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建立健全执法联动机制，增加违章停车查处力度；加大对停车秩序的宣传力度，通过发布交通宣传资料、展开社区教育活动等方式增加市民对停车规范的了解。</w:t>
      </w:r>
    </w:p>
    <w:p>
      <w:pPr>
        <w:keepNext w:val="0"/>
        <w:keepLines w:val="0"/>
        <w:pageBreakBefore w:val="0"/>
        <w:widowControl w:val="0"/>
        <w:kinsoku/>
        <w:wordWrap/>
        <w:overflowPunct/>
        <w:topLinePunct w:val="0"/>
        <w:autoSpaceDE/>
        <w:autoSpaceDN/>
        <w:bidi w:val="0"/>
        <w:adjustRightInd/>
        <w:snapToGrid/>
        <w:spacing w:line="64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策略五：促进停车智慧化发展</w:t>
      </w:r>
    </w:p>
    <w:p>
      <w:pPr>
        <w:keepNext w:val="0"/>
        <w:keepLines w:val="0"/>
        <w:pageBreakBefore w:val="0"/>
        <w:widowControl w:val="0"/>
        <w:kinsoku/>
        <w:wordWrap/>
        <w:overflowPunct/>
        <w:topLinePunct w:val="0"/>
        <w:autoSpaceDE/>
        <w:autoSpaceDN/>
        <w:bidi w:val="0"/>
        <w:adjustRightInd/>
        <w:snapToGrid/>
        <w:spacing w:line="640" w:lineRule="exact"/>
        <w:ind w:firstLine="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停车泊位“一张图”，力争实现全区道路停车位和公共停车设施动静态数据全汇集；引入停车诱导系统，搭建智慧停车管理平台；利用智慧停车管理平台，实行时空差异化管理政策；利用信息采集发布平台发布共享停车信息，促进配建停车位开放共享。</w:t>
      </w:r>
    </w:p>
    <w:p>
      <w:pPr>
        <w:keepNext w:val="0"/>
        <w:keepLines w:val="0"/>
        <w:pageBreakBefore w:val="0"/>
        <w:widowControl w:val="0"/>
        <w:kinsoku/>
        <w:wordWrap/>
        <w:overflowPunct/>
        <w:topLinePunct w:val="0"/>
        <w:autoSpaceDE/>
        <w:autoSpaceDN/>
        <w:bidi w:val="0"/>
        <w:adjustRightInd/>
        <w:snapToGrid/>
        <w:spacing w:line="640" w:lineRule="exact"/>
        <w:ind w:firstLine="6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三</w:t>
      </w:r>
      <w:r>
        <w:rPr>
          <w:rFonts w:hint="eastAsia" w:ascii="仿宋_GB2312" w:hAnsi="仿宋_GB2312" w:eastAsia="仿宋_GB2312" w:cs="仿宋_GB2312"/>
          <w:b/>
          <w:bCs/>
          <w:sz w:val="32"/>
          <w:szCs w:val="32"/>
        </w:rPr>
        <w:t>）分区发展策略</w:t>
      </w:r>
    </w:p>
    <w:p>
      <w:pPr>
        <w:keepNext w:val="0"/>
        <w:keepLines w:val="0"/>
        <w:pageBreakBefore w:val="0"/>
        <w:widowControl w:val="0"/>
        <w:kinsoku/>
        <w:wordWrap/>
        <w:overflowPunct/>
        <w:topLinePunct w:val="0"/>
        <w:autoSpaceDE/>
        <w:autoSpaceDN/>
        <w:bidi w:val="0"/>
        <w:adjustRightInd/>
        <w:snapToGrid/>
        <w:spacing w:line="640" w:lineRule="exact"/>
        <w:ind w:firstLine="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类区：一般限制区，分布在体育街以南、新建路以东、正大路以西、振东街以北的区域。该片区应保障基本车位的供给。停车设施适度限制供应，停车供应率为0.9-1。新建或改建项目严格执行配建标准，鼓励超标准配建停车位。分时段准许路内停车，确保高峰时段道路通行能力，在停车需求集中区域适度增加城市公共停车场。</w:t>
      </w:r>
    </w:p>
    <w:p>
      <w:pPr>
        <w:keepNext w:val="0"/>
        <w:keepLines w:val="0"/>
        <w:pageBreakBefore w:val="0"/>
        <w:widowControl w:val="0"/>
        <w:kinsoku/>
        <w:wordWrap/>
        <w:overflowPunct/>
        <w:topLinePunct w:val="0"/>
        <w:autoSpaceDE/>
        <w:autoSpaceDN/>
        <w:bidi w:val="0"/>
        <w:adjustRightInd/>
        <w:snapToGrid/>
        <w:spacing w:line="640" w:lineRule="exact"/>
        <w:ind w:firstLine="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二类区：适度发展区，除一类区以外的城市建设区。该片区应全面保障停车位的供给。停车设施充分供应，停车供应率为1-1.1。实行高标准配建，基本依靠配建车位解决停车需求。</w:t>
      </w:r>
    </w:p>
    <w:p>
      <w:pPr>
        <w:pStyle w:val="4"/>
        <w:numPr>
          <w:ilvl w:val="0"/>
          <w:numId w:val="0"/>
        </w:numPr>
        <w:ind w:leftChars="0"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六、</w:t>
      </w:r>
      <w:r>
        <w:rPr>
          <w:rFonts w:hint="eastAsia" w:ascii="黑体" w:hAnsi="黑体" w:eastAsia="黑体" w:cs="黑体"/>
          <w:b w:val="0"/>
          <w:bCs w:val="0"/>
          <w:sz w:val="32"/>
          <w:szCs w:val="32"/>
        </w:rPr>
        <w:t>停车设施规划</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一</w:t>
      </w:r>
      <w:r>
        <w:rPr>
          <w:rFonts w:hint="eastAsia" w:ascii="仿宋_GB2312" w:hAnsi="仿宋_GB2312" w:eastAsia="仿宋_GB2312" w:cs="仿宋_GB2312"/>
          <w:b/>
          <w:bCs/>
          <w:sz w:val="32"/>
          <w:szCs w:val="32"/>
        </w:rPr>
        <w:t>）建筑物配建停车位标准建议</w:t>
      </w:r>
    </w:p>
    <w:p>
      <w:pPr>
        <w:pStyle w:val="7"/>
        <w:ind w:firstLine="0" w:firstLineChars="0"/>
        <w:jc w:val="center"/>
        <w:rPr>
          <w:rFonts w:hint="eastAsia"/>
        </w:rPr>
      </w:pPr>
      <w:r>
        <w:rPr>
          <w:rFonts w:hint="eastAsia"/>
        </w:rPr>
        <w:t>表1 建筑停车配建指标建议表</w:t>
      </w:r>
    </w:p>
    <w:tbl>
      <w:tblPr>
        <w:tblStyle w:val="4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42"/>
        <w:gridCol w:w="2185"/>
        <w:gridCol w:w="2294"/>
        <w:gridCol w:w="1196"/>
        <w:gridCol w:w="110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b/>
                <w:bCs/>
                <w:kern w:val="0"/>
                <w:sz w:val="21"/>
                <w:szCs w:val="21"/>
              </w:rPr>
              <w:t>用地性质</w:t>
            </w:r>
          </w:p>
        </w:tc>
        <w:tc>
          <w:tcPr>
            <w:tcW w:w="1282"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b/>
                <w:bCs/>
                <w:kern w:val="0"/>
                <w:sz w:val="21"/>
                <w:szCs w:val="21"/>
              </w:rPr>
              <w:t>类别</w:t>
            </w:r>
          </w:p>
        </w:tc>
        <w:tc>
          <w:tcPr>
            <w:tcW w:w="1346"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b/>
                <w:bCs/>
                <w:kern w:val="0"/>
                <w:sz w:val="21"/>
                <w:szCs w:val="21"/>
              </w:rPr>
              <w:t>计算单位</w:t>
            </w:r>
          </w:p>
        </w:tc>
        <w:tc>
          <w:tcPr>
            <w:tcW w:w="1350" w:type="pct"/>
            <w:gridSpan w:val="2"/>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b/>
                <w:bCs/>
                <w:kern w:val="0"/>
                <w:sz w:val="21"/>
                <w:szCs w:val="21"/>
              </w:rPr>
              <w:t>机动车位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34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702"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一类区</w:t>
            </w:r>
          </w:p>
        </w:tc>
        <w:tc>
          <w:tcPr>
            <w:tcW w:w="648"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二类区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居住</w:t>
            </w: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商品住宅</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车位/100m</w:t>
            </w:r>
            <w:r>
              <w:rPr>
                <w:rFonts w:hint="eastAsia" w:ascii="黑体" w:hAnsi="黑体" w:eastAsia="黑体" w:cs="Times New Roman"/>
                <w:kern w:val="0"/>
                <w:sz w:val="21"/>
                <w:szCs w:val="21"/>
                <w:vertAlign w:val="superscript"/>
              </w:rPr>
              <w:t>2</w:t>
            </w:r>
            <w:r>
              <w:rPr>
                <w:rFonts w:hint="eastAsia" w:ascii="黑体" w:hAnsi="黑体" w:eastAsia="黑体" w:cs="Times New Roman"/>
                <w:kern w:val="0"/>
                <w:sz w:val="21"/>
                <w:szCs w:val="21"/>
              </w:rPr>
              <w:t>建筑面积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0.8</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保障性住房</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车位/100m</w:t>
            </w:r>
            <w:r>
              <w:rPr>
                <w:rFonts w:hint="eastAsia" w:ascii="黑体" w:hAnsi="黑体" w:eastAsia="黑体" w:cs="Times New Roman"/>
                <w:kern w:val="0"/>
                <w:sz w:val="21"/>
                <w:szCs w:val="21"/>
                <w:vertAlign w:val="superscript"/>
              </w:rPr>
              <w:t>2</w:t>
            </w:r>
            <w:r>
              <w:rPr>
                <w:rFonts w:hint="eastAsia" w:ascii="黑体" w:hAnsi="黑体" w:eastAsia="黑体" w:cs="Times New Roman"/>
                <w:kern w:val="0"/>
                <w:sz w:val="21"/>
                <w:szCs w:val="21"/>
              </w:rPr>
              <w:t>建筑面积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0.2</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公共管理与公共服务用地</w:t>
            </w: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办公</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车位/100m</w:t>
            </w:r>
            <w:r>
              <w:rPr>
                <w:rFonts w:hint="eastAsia" w:ascii="黑体" w:hAnsi="黑体" w:eastAsia="黑体" w:cs="Times New Roman"/>
                <w:kern w:val="0"/>
                <w:sz w:val="21"/>
                <w:szCs w:val="21"/>
                <w:vertAlign w:val="superscript"/>
              </w:rPr>
              <w:t>2</w:t>
            </w:r>
            <w:r>
              <w:rPr>
                <w:rFonts w:hint="eastAsia" w:ascii="黑体" w:hAnsi="黑体" w:eastAsia="黑体" w:cs="Times New Roman"/>
                <w:kern w:val="0"/>
                <w:sz w:val="21"/>
                <w:szCs w:val="21"/>
              </w:rPr>
              <w:t>建筑面积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0.75</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展览</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车位/100m</w:t>
            </w:r>
            <w:r>
              <w:rPr>
                <w:rFonts w:hint="eastAsia" w:ascii="黑体" w:hAnsi="黑体" w:eastAsia="黑体" w:cs="Times New Roman"/>
                <w:kern w:val="0"/>
                <w:sz w:val="21"/>
                <w:szCs w:val="21"/>
                <w:vertAlign w:val="superscript"/>
              </w:rPr>
              <w:t>2</w:t>
            </w:r>
            <w:r>
              <w:rPr>
                <w:rFonts w:hint="eastAsia" w:ascii="黑体" w:hAnsi="黑体" w:eastAsia="黑体" w:cs="Times New Roman"/>
                <w:kern w:val="0"/>
                <w:sz w:val="21"/>
                <w:szCs w:val="21"/>
              </w:rPr>
              <w:t>建筑面积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文化</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车位/100个座位</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10</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大专院校</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车位/100名师生</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3</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中专职校</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车位/100名师生</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中学</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车位/100名师生</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小学、幼儿园</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车位/100名师生</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0.5</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体育场馆</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车位/100个座位</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5</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市级医院</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车位/100m</w:t>
            </w:r>
            <w:r>
              <w:rPr>
                <w:rFonts w:hint="eastAsia" w:ascii="黑体" w:hAnsi="黑体" w:eastAsia="黑体" w:cs="Times New Roman"/>
                <w:kern w:val="0"/>
                <w:sz w:val="21"/>
                <w:szCs w:val="21"/>
                <w:vertAlign w:val="superscript"/>
              </w:rPr>
              <w:t>2</w:t>
            </w:r>
            <w:r>
              <w:rPr>
                <w:rFonts w:hint="eastAsia" w:ascii="黑体" w:hAnsi="黑体" w:eastAsia="黑体" w:cs="Times New Roman"/>
                <w:kern w:val="0"/>
                <w:sz w:val="21"/>
                <w:szCs w:val="21"/>
              </w:rPr>
              <w:t>建筑面积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社区卫生服务中心</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车位/100m</w:t>
            </w:r>
            <w:r>
              <w:rPr>
                <w:rFonts w:hint="eastAsia" w:ascii="黑体" w:hAnsi="黑体" w:eastAsia="黑体" w:cs="Times New Roman"/>
                <w:kern w:val="0"/>
                <w:sz w:val="21"/>
                <w:szCs w:val="21"/>
                <w:vertAlign w:val="superscript"/>
              </w:rPr>
              <w:t>2</w:t>
            </w:r>
            <w:r>
              <w:rPr>
                <w:rFonts w:hint="eastAsia" w:ascii="黑体" w:hAnsi="黑体" w:eastAsia="黑体" w:cs="Times New Roman"/>
                <w:kern w:val="0"/>
                <w:sz w:val="21"/>
                <w:szCs w:val="21"/>
              </w:rPr>
              <w:t>建筑面积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0.5</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商业服务业设施用地</w:t>
            </w: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商场、超市、商业</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车位/100m</w:t>
            </w:r>
            <w:r>
              <w:rPr>
                <w:rFonts w:hint="eastAsia" w:ascii="黑体" w:hAnsi="黑体" w:eastAsia="黑体" w:cs="Times New Roman"/>
                <w:kern w:val="0"/>
                <w:sz w:val="21"/>
                <w:szCs w:val="21"/>
                <w:vertAlign w:val="superscript"/>
              </w:rPr>
              <w:t>2</w:t>
            </w:r>
            <w:r>
              <w:rPr>
                <w:rFonts w:hint="eastAsia" w:ascii="黑体" w:hAnsi="黑体" w:eastAsia="黑体" w:cs="Times New Roman"/>
                <w:kern w:val="0"/>
                <w:sz w:val="21"/>
                <w:szCs w:val="21"/>
              </w:rPr>
              <w:t>建筑面积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综合市场、农贸市场、批发市场</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车位/100m</w:t>
            </w:r>
            <w:r>
              <w:rPr>
                <w:rFonts w:hint="eastAsia" w:ascii="黑体" w:hAnsi="黑体" w:eastAsia="黑体" w:cs="Times New Roman"/>
                <w:kern w:val="0"/>
                <w:sz w:val="21"/>
                <w:szCs w:val="21"/>
                <w:vertAlign w:val="superscript"/>
              </w:rPr>
              <w:t>2</w:t>
            </w:r>
            <w:r>
              <w:rPr>
                <w:rFonts w:hint="eastAsia" w:ascii="黑体" w:hAnsi="黑体" w:eastAsia="黑体" w:cs="Times New Roman"/>
                <w:kern w:val="0"/>
                <w:sz w:val="21"/>
                <w:szCs w:val="21"/>
              </w:rPr>
              <w:t>建筑面积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餐饮</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车位/100m</w:t>
            </w:r>
            <w:r>
              <w:rPr>
                <w:rFonts w:hint="eastAsia" w:ascii="黑体" w:hAnsi="黑体" w:eastAsia="黑体" w:cs="Times New Roman"/>
                <w:kern w:val="0"/>
                <w:sz w:val="21"/>
                <w:szCs w:val="21"/>
                <w:vertAlign w:val="superscript"/>
              </w:rPr>
              <w:t>2</w:t>
            </w:r>
            <w:r>
              <w:rPr>
                <w:rFonts w:hint="eastAsia" w:ascii="黑体" w:hAnsi="黑体" w:eastAsia="黑体" w:cs="Times New Roman"/>
                <w:kern w:val="0"/>
                <w:sz w:val="21"/>
                <w:szCs w:val="21"/>
              </w:rPr>
              <w:t>建筑面积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宾馆、酒店</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车位/客房</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商务写字楼</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车位/100m</w:t>
            </w:r>
            <w:r>
              <w:rPr>
                <w:rFonts w:hint="eastAsia" w:ascii="黑体" w:hAnsi="黑体" w:eastAsia="黑体" w:cs="Times New Roman"/>
                <w:kern w:val="0"/>
                <w:sz w:val="21"/>
                <w:szCs w:val="21"/>
                <w:vertAlign w:val="superscript"/>
              </w:rPr>
              <w:t>2</w:t>
            </w:r>
            <w:r>
              <w:rPr>
                <w:rFonts w:hint="eastAsia" w:ascii="黑体" w:hAnsi="黑体" w:eastAsia="黑体" w:cs="Times New Roman"/>
                <w:kern w:val="0"/>
                <w:sz w:val="21"/>
                <w:szCs w:val="21"/>
              </w:rPr>
              <w:t>建筑面积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娱乐、康体</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车位/100m</w:t>
            </w:r>
            <w:r>
              <w:rPr>
                <w:rFonts w:hint="eastAsia" w:ascii="黑体" w:hAnsi="黑体" w:eastAsia="黑体" w:cs="Times New Roman"/>
                <w:kern w:val="0"/>
                <w:sz w:val="21"/>
                <w:szCs w:val="21"/>
                <w:vertAlign w:val="superscript"/>
              </w:rPr>
              <w:t>2</w:t>
            </w:r>
            <w:r>
              <w:rPr>
                <w:rFonts w:hint="eastAsia" w:ascii="黑体" w:hAnsi="黑体" w:eastAsia="黑体" w:cs="Times New Roman"/>
                <w:kern w:val="0"/>
                <w:sz w:val="21"/>
                <w:szCs w:val="21"/>
              </w:rPr>
              <w:t>建筑面积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工业用地</w:t>
            </w: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厂房</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车位/100m</w:t>
            </w:r>
            <w:r>
              <w:rPr>
                <w:rFonts w:hint="eastAsia" w:ascii="黑体" w:hAnsi="黑体" w:eastAsia="黑体" w:cs="Times New Roman"/>
                <w:kern w:val="0"/>
                <w:sz w:val="21"/>
                <w:szCs w:val="21"/>
                <w:vertAlign w:val="superscript"/>
              </w:rPr>
              <w:t>2</w:t>
            </w:r>
            <w:r>
              <w:rPr>
                <w:rFonts w:hint="eastAsia" w:ascii="黑体" w:hAnsi="黑体" w:eastAsia="黑体" w:cs="Times New Roman"/>
                <w:kern w:val="0"/>
                <w:sz w:val="21"/>
                <w:szCs w:val="21"/>
              </w:rPr>
              <w:t>建筑面积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0.15</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物流仓储用地</w:t>
            </w: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仓储</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车位/100m</w:t>
            </w:r>
            <w:r>
              <w:rPr>
                <w:rFonts w:hint="eastAsia" w:ascii="黑体" w:hAnsi="黑体" w:eastAsia="黑体" w:cs="Times New Roman"/>
                <w:kern w:val="0"/>
                <w:sz w:val="21"/>
                <w:szCs w:val="21"/>
                <w:vertAlign w:val="superscript"/>
              </w:rPr>
              <w:t>2</w:t>
            </w:r>
            <w:r>
              <w:rPr>
                <w:rFonts w:hint="eastAsia" w:ascii="黑体" w:hAnsi="黑体" w:eastAsia="黑体" w:cs="Times New Roman"/>
                <w:kern w:val="0"/>
                <w:sz w:val="21"/>
                <w:szCs w:val="21"/>
              </w:rPr>
              <w:t>仓储面积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道路与交通设施用地</w:t>
            </w: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火车站、长途汽车站</w:t>
            </w:r>
          </w:p>
        </w:tc>
        <w:tc>
          <w:tcPr>
            <w:tcW w:w="2696" w:type="pct"/>
            <w:gridSpan w:val="3"/>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停车位≥300个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绿地与广场用地</w:t>
            </w: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综合公园、主题公园</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车位/公顷占地面积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6</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1022"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12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一般性公园、广场</w:t>
            </w:r>
          </w:p>
        </w:tc>
        <w:tc>
          <w:tcPr>
            <w:tcW w:w="134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车位/公顷占地面积</w:t>
            </w:r>
          </w:p>
        </w:tc>
        <w:tc>
          <w:tcPr>
            <w:tcW w:w="70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4</w:t>
            </w:r>
          </w:p>
        </w:tc>
        <w:tc>
          <w:tcPr>
            <w:tcW w:w="64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4.5</w:t>
            </w:r>
          </w:p>
        </w:tc>
      </w:tr>
    </w:tbl>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二</w:t>
      </w:r>
      <w:r>
        <w:rPr>
          <w:rFonts w:hint="eastAsia" w:ascii="仿宋_GB2312" w:hAnsi="仿宋_GB2312" w:eastAsia="仿宋_GB2312" w:cs="仿宋_GB2312"/>
          <w:b/>
          <w:bCs/>
          <w:sz w:val="32"/>
          <w:szCs w:val="32"/>
        </w:rPr>
        <w:t>）公共停车场规划</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规划布局公共停车场43处，共6184个停车位。其中现状停车场19处，1445个停车位，规划停车场24处，4739个停车位。按建设形式分类，地面停车场31处，3815个停车位；地下停车场12处，2369个停车位。</w:t>
      </w:r>
    </w:p>
    <w:p>
      <w:pPr>
        <w:ind w:firstLine="0" w:firstLineChars="0"/>
        <w:jc w:val="center"/>
        <w:rPr>
          <w:rFonts w:hint="eastAsia"/>
        </w:rPr>
      </w:pPr>
      <w:r>
        <w:drawing>
          <wp:inline distT="0" distB="0" distL="0" distR="0">
            <wp:extent cx="5039360" cy="6162040"/>
            <wp:effectExtent l="0" t="0" r="8890" b="0"/>
            <wp:docPr id="13476241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24190"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t="8804" b="4821"/>
                    <a:stretch>
                      <a:fillRect/>
                    </a:stretch>
                  </pic:blipFill>
                  <pic:spPr>
                    <a:xfrm>
                      <a:off x="0" y="0"/>
                      <a:ext cx="5040000" cy="6163044"/>
                    </a:xfrm>
                    <a:prstGeom prst="rect">
                      <a:avLst/>
                    </a:prstGeom>
                    <a:noFill/>
                    <a:ln>
                      <a:noFill/>
                    </a:ln>
                  </pic:spPr>
                </pic:pic>
              </a:graphicData>
            </a:graphic>
          </wp:inline>
        </w:drawing>
      </w:r>
    </w:p>
    <w:p>
      <w:pPr>
        <w:pStyle w:val="7"/>
        <w:ind w:firstLine="0" w:firstLineChars="0"/>
        <w:jc w:val="center"/>
        <w:rPr>
          <w:rFonts w:hint="eastAsia"/>
        </w:rPr>
      </w:pPr>
      <w:r>
        <w:rPr>
          <w:rFonts w:hint="eastAsia"/>
        </w:rPr>
        <w:t>图2 中心城区公共停车场规划图</w:t>
      </w:r>
    </w:p>
    <w:p>
      <w:pPr>
        <w:pStyle w:val="7"/>
        <w:ind w:firstLine="0" w:firstLineChars="0"/>
        <w:jc w:val="center"/>
        <w:rPr>
          <w:rFonts w:hint="eastAsia"/>
        </w:rPr>
      </w:pPr>
    </w:p>
    <w:p>
      <w:pPr>
        <w:pStyle w:val="7"/>
        <w:ind w:firstLine="0" w:firstLineChars="0"/>
        <w:jc w:val="center"/>
        <w:rPr>
          <w:rFonts w:hint="eastAsia"/>
        </w:rPr>
      </w:pPr>
      <w:r>
        <w:rPr>
          <w:rFonts w:hint="eastAsia"/>
        </w:rPr>
        <w:t>表2 规划新增公共停车场一览表</w:t>
      </w:r>
    </w:p>
    <w:tbl>
      <w:tblPr>
        <w:tblStyle w:val="4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99"/>
        <w:gridCol w:w="712"/>
        <w:gridCol w:w="545"/>
        <w:gridCol w:w="2749"/>
        <w:gridCol w:w="822"/>
        <w:gridCol w:w="873"/>
        <w:gridCol w:w="740"/>
        <w:gridCol w:w="108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片区</w:t>
            </w:r>
          </w:p>
        </w:tc>
        <w:tc>
          <w:tcPr>
            <w:tcW w:w="418"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停车分区</w:t>
            </w:r>
          </w:p>
        </w:tc>
        <w:tc>
          <w:tcPr>
            <w:tcW w:w="320"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编号</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b/>
                <w:bCs/>
                <w:kern w:val="0"/>
                <w:sz w:val="21"/>
                <w:szCs w:val="21"/>
              </w:rPr>
              <w:t>位置</w:t>
            </w:r>
          </w:p>
        </w:tc>
        <w:tc>
          <w:tcPr>
            <w:tcW w:w="482"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面积（m</w:t>
            </w:r>
            <w:r>
              <w:rPr>
                <w:rFonts w:hint="eastAsia" w:ascii="黑体" w:hAnsi="黑体" w:eastAsia="黑体" w:cs="Times New Roman"/>
                <w:b/>
                <w:bCs/>
                <w:kern w:val="0"/>
                <w:sz w:val="21"/>
                <w:szCs w:val="21"/>
                <w:vertAlign w:val="superscript"/>
              </w:rPr>
              <w:t>2</w:t>
            </w:r>
            <w:r>
              <w:rPr>
                <w:rFonts w:hint="eastAsia" w:ascii="黑体" w:hAnsi="黑体" w:eastAsia="黑体" w:cs="Times New Roman"/>
                <w:b/>
                <w:bCs/>
                <w:kern w:val="0"/>
                <w:sz w:val="21"/>
                <w:szCs w:val="21"/>
              </w:rPr>
              <w:t>）</w:t>
            </w:r>
          </w:p>
        </w:tc>
        <w:tc>
          <w:tcPr>
            <w:tcW w:w="512"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停车泊位（个）</w:t>
            </w:r>
          </w:p>
        </w:tc>
        <w:tc>
          <w:tcPr>
            <w:tcW w:w="434"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建筑类型</w:t>
            </w:r>
          </w:p>
        </w:tc>
        <w:tc>
          <w:tcPr>
            <w:tcW w:w="636"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建设形式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高铁科创文化片区</w:t>
            </w:r>
          </w:p>
        </w:tc>
        <w:tc>
          <w:tcPr>
            <w:tcW w:w="418"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二类</w:t>
            </w: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01</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博学街和英雄南路东北角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8190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273</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结合居住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07</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博学街和文竹路东南角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8190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273</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结合绿地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城北黎岭宜居片区</w:t>
            </w:r>
          </w:p>
        </w:tc>
        <w:tc>
          <w:tcPr>
            <w:tcW w:w="418"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二类</w:t>
            </w: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15</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洪福路和峪南巷东北角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7980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266</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地下</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结合医疗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21</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综合体育馆北侧</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6930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231</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结合体育馆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22</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新建北路西侧</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8760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292</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地下</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结合绿地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民生综合服务宜居片区</w:t>
            </w:r>
          </w:p>
        </w:tc>
        <w:tc>
          <w:tcPr>
            <w:tcW w:w="41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一类</w:t>
            </w: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44</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中元体育运动场</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6420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214</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地下</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结合体育场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二类</w:t>
            </w: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16</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五龙东街和正大北路西北角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6300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210</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地下</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结合商业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34</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杏林街和正大北路西南角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3900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130</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地下</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结合绿地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35</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杏林街和正大北路东南角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3900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130</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地下</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结合绿地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37</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苗阁街北侧</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7380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246</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结合绿地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42</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体育东街和西苗路西北角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8430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281</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落实控规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43</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体育东街和英雄南路西北角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4890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163</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地下</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结合绿地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韩店老城宜居片区</w:t>
            </w:r>
          </w:p>
        </w:tc>
        <w:tc>
          <w:tcPr>
            <w:tcW w:w="418"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一类</w:t>
            </w: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59</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府前广场</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6000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200</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结合府前广场建设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76</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民安西巷和兴盛路东南角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3270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109</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地下</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结合绿地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二类</w:t>
            </w: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54</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府后西街与西华北路东南角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1672</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55</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落实控规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72</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公园东路西侧</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4950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165</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结合居住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132</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民康巷和兴盛路西南角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2250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75</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地下</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结合绿地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134</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新建南路西侧污水处理厂</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5340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178</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结合商业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141</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古桥东街和正大南路西北角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5850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195</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结合绿地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148</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南沟村委会旁</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5100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170</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结合居住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城东经坊宜居片区</w:t>
            </w:r>
          </w:p>
        </w:tc>
        <w:tc>
          <w:tcPr>
            <w:tcW w:w="418"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一类</w:t>
            </w: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87</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和谐广场</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8130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271</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地下</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结合绿地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105</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新市东街和和谐南路西南角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6270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209</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地下</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结合绿地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115</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民和巷和东华南路东北角</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9000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300</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地下</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结合绿地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86"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418"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二类</w:t>
            </w:r>
          </w:p>
        </w:tc>
        <w:tc>
          <w:tcPr>
            <w:tcW w:w="320"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145</w:t>
            </w:r>
          </w:p>
        </w:tc>
        <w:tc>
          <w:tcPr>
            <w:tcW w:w="161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振东科技园</w:t>
            </w:r>
          </w:p>
        </w:tc>
        <w:tc>
          <w:tcPr>
            <w:tcW w:w="482"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3090</w:t>
            </w:r>
          </w:p>
        </w:tc>
        <w:tc>
          <w:tcPr>
            <w:tcW w:w="512"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103</w:t>
            </w:r>
          </w:p>
        </w:tc>
        <w:tc>
          <w:tcPr>
            <w:tcW w:w="43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36"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结合商业</w:t>
            </w:r>
          </w:p>
        </w:tc>
      </w:tr>
    </w:tbl>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三</w:t>
      </w:r>
      <w:r>
        <w:rPr>
          <w:rFonts w:hint="eastAsia" w:ascii="仿宋_GB2312" w:hAnsi="仿宋_GB2312" w:eastAsia="仿宋_GB2312" w:cs="仿宋_GB2312"/>
          <w:b/>
          <w:bCs/>
          <w:sz w:val="32"/>
          <w:szCs w:val="32"/>
        </w:rPr>
        <w:t>）路内停车位规划</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布局路内停车位2617个，位于34条道路上，其中保留现状13条道路，停车位1201个；新增21条道路，停车位1416个。对于既有道路宽度条件不符合路内停车位设置要求的道路上的路内停车位建议取消，共取消停车位916个。</w:t>
      </w:r>
    </w:p>
    <w:p>
      <w:pPr>
        <w:ind w:firstLine="0" w:firstLineChars="0"/>
        <w:jc w:val="center"/>
        <w:rPr>
          <w:rFonts w:hint="eastAsia"/>
        </w:rPr>
      </w:pPr>
      <w:r>
        <w:drawing>
          <wp:inline distT="0" distB="0" distL="0" distR="0">
            <wp:extent cx="5039360" cy="6153785"/>
            <wp:effectExtent l="0" t="0" r="8890" b="0"/>
            <wp:docPr id="13592922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92281"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t="8915" b="4821"/>
                    <a:stretch>
                      <a:fillRect/>
                    </a:stretch>
                  </pic:blipFill>
                  <pic:spPr>
                    <a:xfrm>
                      <a:off x="0" y="0"/>
                      <a:ext cx="5040000" cy="6155091"/>
                    </a:xfrm>
                    <a:prstGeom prst="rect">
                      <a:avLst/>
                    </a:prstGeom>
                    <a:noFill/>
                    <a:ln>
                      <a:noFill/>
                    </a:ln>
                  </pic:spPr>
                </pic:pic>
              </a:graphicData>
            </a:graphic>
          </wp:inline>
        </w:drawing>
      </w:r>
    </w:p>
    <w:p>
      <w:pPr>
        <w:pStyle w:val="7"/>
        <w:ind w:firstLine="0" w:firstLineChars="0"/>
        <w:jc w:val="center"/>
        <w:rPr>
          <w:rFonts w:hint="eastAsia"/>
        </w:rPr>
      </w:pPr>
    </w:p>
    <w:p>
      <w:pPr>
        <w:pStyle w:val="7"/>
        <w:ind w:firstLine="0" w:firstLineChars="0"/>
        <w:jc w:val="center"/>
        <w:rPr>
          <w:rFonts w:hint="eastAsia"/>
        </w:rPr>
      </w:pPr>
      <w:r>
        <w:rPr>
          <w:rFonts w:hint="eastAsia"/>
        </w:rPr>
        <w:t>图3 中心城区路内停车位规划图</w:t>
      </w:r>
    </w:p>
    <w:p>
      <w:pPr>
        <w:pStyle w:val="7"/>
        <w:ind w:firstLine="0" w:firstLineChars="0"/>
        <w:jc w:val="center"/>
        <w:rPr>
          <w:rFonts w:hint="eastAsia"/>
        </w:rPr>
      </w:pPr>
      <w:r>
        <w:rPr>
          <w:rFonts w:hint="eastAsia"/>
        </w:rPr>
        <w:t>表3 规划新增路内停车位一览表</w:t>
      </w:r>
    </w:p>
    <w:tbl>
      <w:tblPr>
        <w:tblStyle w:val="4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52"/>
        <w:gridCol w:w="1164"/>
        <w:gridCol w:w="1166"/>
        <w:gridCol w:w="1164"/>
        <w:gridCol w:w="1166"/>
        <w:gridCol w:w="1164"/>
        <w:gridCol w:w="12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Align w:val="center"/>
          </w:tcPr>
          <w:p>
            <w:pPr>
              <w:spacing w:before="120"/>
              <w:ind w:firstLine="0" w:firstLineChars="0"/>
              <w:jc w:val="center"/>
              <w:rPr>
                <w:rFonts w:hint="eastAsia" w:ascii="楷体" w:hAnsi="楷体" w:eastAsia="楷体" w:cs="Times New Roman"/>
                <w:b/>
                <w:bCs/>
                <w:kern w:val="0"/>
                <w:sz w:val="21"/>
                <w:szCs w:val="21"/>
              </w:rPr>
            </w:pPr>
            <w:r>
              <w:rPr>
                <w:rFonts w:hint="eastAsia" w:ascii="楷体" w:hAnsi="楷体" w:eastAsia="楷体" w:cs="Times New Roman"/>
                <w:b/>
                <w:bCs/>
                <w:kern w:val="0"/>
                <w:sz w:val="21"/>
                <w:szCs w:val="21"/>
              </w:rPr>
              <w:t>片区</w:t>
            </w:r>
          </w:p>
        </w:tc>
        <w:tc>
          <w:tcPr>
            <w:tcW w:w="683" w:type="pct"/>
            <w:vAlign w:val="center"/>
          </w:tcPr>
          <w:p>
            <w:pPr>
              <w:spacing w:before="120"/>
              <w:ind w:firstLine="0" w:firstLineChars="0"/>
              <w:jc w:val="center"/>
              <w:rPr>
                <w:rFonts w:hint="eastAsia" w:ascii="楷体" w:hAnsi="楷体" w:eastAsia="楷体" w:cs="Times New Roman"/>
                <w:b/>
                <w:bCs/>
                <w:kern w:val="0"/>
                <w:sz w:val="21"/>
                <w:szCs w:val="21"/>
              </w:rPr>
            </w:pPr>
            <w:r>
              <w:rPr>
                <w:rFonts w:hint="eastAsia" w:ascii="楷体" w:hAnsi="楷体" w:eastAsia="楷体" w:cs="Times New Roman"/>
                <w:b/>
                <w:bCs/>
                <w:kern w:val="0"/>
                <w:sz w:val="21"/>
                <w:szCs w:val="21"/>
              </w:rPr>
              <w:t>道路类型</w:t>
            </w:r>
          </w:p>
        </w:tc>
        <w:tc>
          <w:tcPr>
            <w:tcW w:w="684" w:type="pct"/>
            <w:vAlign w:val="center"/>
          </w:tcPr>
          <w:p>
            <w:pPr>
              <w:spacing w:before="120"/>
              <w:ind w:firstLine="0" w:firstLineChars="0"/>
              <w:jc w:val="center"/>
              <w:rPr>
                <w:rFonts w:hint="eastAsia" w:ascii="楷体" w:hAnsi="楷体" w:eastAsia="楷体" w:cs="Times New Roman"/>
                <w:b/>
                <w:bCs/>
                <w:kern w:val="0"/>
                <w:sz w:val="21"/>
                <w:szCs w:val="21"/>
              </w:rPr>
            </w:pPr>
            <w:r>
              <w:rPr>
                <w:rFonts w:hint="eastAsia" w:ascii="楷体" w:hAnsi="楷体" w:eastAsia="楷体" w:cs="Times New Roman"/>
                <w:b/>
                <w:bCs/>
                <w:kern w:val="0"/>
                <w:sz w:val="21"/>
                <w:szCs w:val="21"/>
              </w:rPr>
              <w:t>道路名称</w:t>
            </w:r>
          </w:p>
        </w:tc>
        <w:tc>
          <w:tcPr>
            <w:tcW w:w="683" w:type="pct"/>
            <w:vAlign w:val="center"/>
          </w:tcPr>
          <w:p>
            <w:pPr>
              <w:spacing w:before="120"/>
              <w:ind w:firstLine="0" w:firstLineChars="0"/>
              <w:jc w:val="center"/>
              <w:rPr>
                <w:rFonts w:hint="eastAsia" w:ascii="楷体" w:hAnsi="楷体" w:eastAsia="楷体" w:cs="Times New Roman"/>
                <w:b/>
                <w:bCs/>
                <w:kern w:val="0"/>
                <w:sz w:val="21"/>
                <w:szCs w:val="21"/>
              </w:rPr>
            </w:pPr>
            <w:r>
              <w:rPr>
                <w:rFonts w:hint="eastAsia" w:ascii="楷体" w:hAnsi="楷体" w:eastAsia="楷体" w:cs="Times New Roman"/>
                <w:b/>
                <w:bCs/>
                <w:kern w:val="0"/>
                <w:sz w:val="21"/>
                <w:szCs w:val="21"/>
              </w:rPr>
              <w:t>红线宽度（m）</w:t>
            </w:r>
          </w:p>
        </w:tc>
        <w:tc>
          <w:tcPr>
            <w:tcW w:w="684" w:type="pct"/>
            <w:vAlign w:val="center"/>
          </w:tcPr>
          <w:p>
            <w:pPr>
              <w:spacing w:before="120"/>
              <w:ind w:firstLine="0" w:firstLineChars="0"/>
              <w:jc w:val="center"/>
              <w:rPr>
                <w:rFonts w:hint="eastAsia" w:ascii="楷体" w:hAnsi="楷体" w:eastAsia="楷体" w:cs="Times New Roman"/>
                <w:b/>
                <w:bCs/>
                <w:kern w:val="0"/>
                <w:sz w:val="21"/>
                <w:szCs w:val="21"/>
              </w:rPr>
            </w:pPr>
            <w:r>
              <w:rPr>
                <w:rFonts w:hint="eastAsia" w:ascii="楷体" w:hAnsi="楷体" w:eastAsia="楷体" w:cs="Times New Roman"/>
                <w:b/>
                <w:bCs/>
                <w:kern w:val="0"/>
                <w:sz w:val="21"/>
                <w:szCs w:val="21"/>
              </w:rPr>
              <w:t>设置长度（</w:t>
            </w:r>
            <w:r>
              <w:rPr>
                <w:rFonts w:ascii="楷体" w:hAnsi="楷体" w:eastAsia="楷体" w:cs="Times New Roman"/>
                <w:b/>
                <w:bCs/>
                <w:kern w:val="0"/>
                <w:sz w:val="21"/>
                <w:szCs w:val="21"/>
              </w:rPr>
              <w:t>m）</w:t>
            </w:r>
          </w:p>
        </w:tc>
        <w:tc>
          <w:tcPr>
            <w:tcW w:w="683" w:type="pct"/>
            <w:vAlign w:val="center"/>
          </w:tcPr>
          <w:p>
            <w:pPr>
              <w:spacing w:before="120"/>
              <w:ind w:firstLine="0" w:firstLineChars="0"/>
              <w:jc w:val="center"/>
              <w:rPr>
                <w:rFonts w:hint="eastAsia" w:ascii="楷体" w:hAnsi="楷体" w:eastAsia="楷体" w:cs="Times New Roman"/>
                <w:b/>
                <w:bCs/>
                <w:kern w:val="0"/>
                <w:sz w:val="21"/>
                <w:szCs w:val="21"/>
              </w:rPr>
            </w:pPr>
            <w:r>
              <w:rPr>
                <w:rFonts w:hint="eastAsia" w:ascii="楷体" w:hAnsi="楷体" w:eastAsia="楷体" w:cs="Times New Roman"/>
                <w:b/>
                <w:bCs/>
                <w:kern w:val="0"/>
                <w:sz w:val="21"/>
                <w:szCs w:val="21"/>
              </w:rPr>
              <w:t>设置形式</w:t>
            </w:r>
          </w:p>
        </w:tc>
        <w:tc>
          <w:tcPr>
            <w:tcW w:w="731" w:type="pct"/>
            <w:vAlign w:val="center"/>
          </w:tcPr>
          <w:p>
            <w:pPr>
              <w:spacing w:before="120"/>
              <w:ind w:firstLine="0" w:firstLineChars="0"/>
              <w:jc w:val="center"/>
              <w:rPr>
                <w:rFonts w:hint="eastAsia" w:ascii="楷体" w:hAnsi="楷体" w:eastAsia="楷体" w:cs="Times New Roman"/>
                <w:b/>
                <w:bCs/>
                <w:kern w:val="0"/>
                <w:sz w:val="21"/>
                <w:szCs w:val="21"/>
              </w:rPr>
            </w:pPr>
            <w:r>
              <w:rPr>
                <w:rFonts w:hint="eastAsia" w:ascii="楷体" w:hAnsi="楷体" w:eastAsia="楷体" w:cs="Times New Roman"/>
                <w:b/>
                <w:bCs/>
                <w:kern w:val="0"/>
                <w:sz w:val="21"/>
                <w:szCs w:val="21"/>
              </w:rPr>
              <w:t>停车泊位（个）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restar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高铁科创文化片区</w:t>
            </w:r>
          </w:p>
        </w:tc>
        <w:tc>
          <w:tcPr>
            <w:tcW w:w="683" w:type="pct"/>
            <w:vMerge w:val="restar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次干路</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文学路</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ascii="楷体" w:hAnsi="楷体" w:eastAsia="楷体" w:cs="Times New Roman"/>
                <w:kern w:val="0"/>
                <w:sz w:val="21"/>
                <w:szCs w:val="21"/>
              </w:rPr>
              <w:t>30</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ascii="楷体" w:hAnsi="楷体" w:eastAsia="楷体" w:cs="Times New Roman"/>
                <w:kern w:val="0"/>
                <w:sz w:val="21"/>
                <w:szCs w:val="21"/>
              </w:rPr>
              <w:t>276</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两侧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ascii="楷体" w:hAnsi="楷体" w:eastAsia="楷体" w:cs="Times New Roman"/>
                <w:kern w:val="0"/>
                <w:sz w:val="21"/>
                <w:szCs w:val="21"/>
              </w:rPr>
              <w:t>92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博学街</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ascii="楷体" w:hAnsi="楷体" w:eastAsia="楷体" w:cs="Times New Roman"/>
                <w:kern w:val="0"/>
                <w:sz w:val="21"/>
                <w:szCs w:val="21"/>
              </w:rPr>
              <w:t>40</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ascii="楷体" w:hAnsi="楷体" w:eastAsia="楷体" w:cs="Times New Roman"/>
                <w:kern w:val="0"/>
                <w:sz w:val="21"/>
                <w:szCs w:val="21"/>
              </w:rPr>
              <w:t>204</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两侧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ascii="楷体" w:hAnsi="楷体" w:eastAsia="楷体" w:cs="Times New Roman"/>
                <w:kern w:val="0"/>
                <w:sz w:val="21"/>
                <w:szCs w:val="21"/>
              </w:rPr>
              <w:t>68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restar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城北黎岭宜居片区</w:t>
            </w:r>
          </w:p>
        </w:tc>
        <w:tc>
          <w:tcPr>
            <w:tcW w:w="683" w:type="pct"/>
            <w:vMerge w:val="restar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次干路</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德善路</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ascii="楷体" w:hAnsi="楷体" w:eastAsia="楷体" w:cs="Times New Roman"/>
                <w:kern w:val="0"/>
                <w:sz w:val="21"/>
                <w:szCs w:val="21"/>
              </w:rPr>
              <w:t>26</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ascii="楷体" w:hAnsi="楷体" w:eastAsia="楷体" w:cs="Times New Roman"/>
                <w:kern w:val="0"/>
                <w:sz w:val="21"/>
                <w:szCs w:val="21"/>
              </w:rPr>
              <w:t>678</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113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峪北巷</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30</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ascii="楷体" w:hAnsi="楷体" w:eastAsia="楷体" w:cs="Times New Roman"/>
                <w:kern w:val="0"/>
                <w:sz w:val="21"/>
                <w:szCs w:val="21"/>
              </w:rPr>
              <w:t>588</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杏林街</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24</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ascii="楷体" w:hAnsi="楷体" w:eastAsia="楷体" w:cs="Times New Roman"/>
                <w:kern w:val="0"/>
                <w:sz w:val="21"/>
                <w:szCs w:val="21"/>
              </w:rPr>
              <w:t>420</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restar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支路</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博裕巷</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24</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468</w:t>
            </w:r>
          </w:p>
        </w:tc>
        <w:tc>
          <w:tcPr>
            <w:tcW w:w="683" w:type="pct"/>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78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支路</w:t>
            </w:r>
            <w:r>
              <w:rPr>
                <w:rFonts w:ascii="楷体" w:hAnsi="楷体" w:eastAsia="楷体" w:cs="Times New Roman"/>
                <w:kern w:val="0"/>
                <w:sz w:val="21"/>
                <w:szCs w:val="21"/>
              </w:rPr>
              <w:t>1</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20</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336</w:t>
            </w:r>
          </w:p>
        </w:tc>
        <w:tc>
          <w:tcPr>
            <w:tcW w:w="683" w:type="pct"/>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56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restar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民生综合服务宜居片区</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次干路</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北华街</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24</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264</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44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restar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支路</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西苗路</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30</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510</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两侧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170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苗阁街</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24</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582</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97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支路</w:t>
            </w:r>
            <w:r>
              <w:rPr>
                <w:rFonts w:ascii="楷体" w:hAnsi="楷体" w:eastAsia="楷体" w:cs="Times New Roman"/>
                <w:kern w:val="0"/>
                <w:sz w:val="21"/>
                <w:szCs w:val="21"/>
              </w:rPr>
              <w:t>2</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24</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288</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restar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韩店老城宜居片区</w:t>
            </w:r>
          </w:p>
        </w:tc>
        <w:tc>
          <w:tcPr>
            <w:tcW w:w="683" w:type="pct"/>
            <w:vMerge w:val="restar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次干路</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古桥街</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24</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240</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古桥东街</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24</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180</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restar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支路</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金海岸小区巷</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20</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258</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43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韩南二街</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30</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288</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两侧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公园东路</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20</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162</w:t>
            </w:r>
          </w:p>
        </w:tc>
        <w:tc>
          <w:tcPr>
            <w:tcW w:w="683" w:type="pct"/>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支路</w:t>
            </w:r>
            <w:r>
              <w:rPr>
                <w:rFonts w:ascii="楷体" w:hAnsi="楷体" w:eastAsia="楷体" w:cs="Times New Roman"/>
                <w:kern w:val="0"/>
                <w:sz w:val="21"/>
                <w:szCs w:val="21"/>
              </w:rPr>
              <w:t>3</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20</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246</w:t>
            </w:r>
          </w:p>
        </w:tc>
        <w:tc>
          <w:tcPr>
            <w:tcW w:w="683" w:type="pct"/>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41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支路</w:t>
            </w:r>
            <w:r>
              <w:rPr>
                <w:rFonts w:ascii="楷体" w:hAnsi="楷体" w:eastAsia="楷体" w:cs="Times New Roman"/>
                <w:kern w:val="0"/>
                <w:sz w:val="21"/>
                <w:szCs w:val="21"/>
              </w:rPr>
              <w:t>4</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20</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204</w:t>
            </w:r>
          </w:p>
        </w:tc>
        <w:tc>
          <w:tcPr>
            <w:tcW w:w="683" w:type="pct"/>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34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restar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城东经坊宜居片区</w:t>
            </w:r>
          </w:p>
        </w:tc>
        <w:tc>
          <w:tcPr>
            <w:tcW w:w="683" w:type="pct"/>
            <w:vMerge w:val="restar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支路</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崇贤街</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20</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348</w:t>
            </w:r>
          </w:p>
        </w:tc>
        <w:tc>
          <w:tcPr>
            <w:tcW w:w="683" w:type="pct"/>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58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支路</w:t>
            </w:r>
            <w:r>
              <w:rPr>
                <w:rFonts w:ascii="楷体" w:hAnsi="楷体" w:eastAsia="楷体" w:cs="Times New Roman"/>
                <w:kern w:val="0"/>
                <w:sz w:val="21"/>
                <w:szCs w:val="21"/>
              </w:rPr>
              <w:t>5</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20</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180</w:t>
            </w:r>
          </w:p>
        </w:tc>
        <w:tc>
          <w:tcPr>
            <w:tcW w:w="683" w:type="pct"/>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852"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3" w:type="pct"/>
            <w:vMerge w:val="continue"/>
            <w:vAlign w:val="center"/>
          </w:tcPr>
          <w:p>
            <w:pPr>
              <w:spacing w:before="120"/>
              <w:ind w:firstLine="0" w:firstLineChars="0"/>
              <w:jc w:val="center"/>
              <w:rPr>
                <w:rFonts w:hint="eastAsia" w:ascii="楷体" w:hAnsi="楷体" w:eastAsia="楷体" w:cs="Times New Roman"/>
                <w:kern w:val="0"/>
                <w:sz w:val="21"/>
                <w:szCs w:val="21"/>
              </w:rPr>
            </w:pP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支路</w:t>
            </w:r>
            <w:r>
              <w:rPr>
                <w:rFonts w:ascii="楷体" w:hAnsi="楷体" w:eastAsia="楷体" w:cs="Times New Roman"/>
                <w:kern w:val="0"/>
                <w:sz w:val="21"/>
                <w:szCs w:val="21"/>
              </w:rPr>
              <w:t>6</w:t>
            </w:r>
          </w:p>
        </w:tc>
        <w:tc>
          <w:tcPr>
            <w:tcW w:w="683"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30</w:t>
            </w:r>
          </w:p>
        </w:tc>
        <w:tc>
          <w:tcPr>
            <w:tcW w:w="684"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492</w:t>
            </w:r>
          </w:p>
        </w:tc>
        <w:tc>
          <w:tcPr>
            <w:tcW w:w="683" w:type="pct"/>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单侧</w:t>
            </w:r>
          </w:p>
        </w:tc>
        <w:tc>
          <w:tcPr>
            <w:tcW w:w="731" w:type="pct"/>
            <w:vAlign w:val="center"/>
          </w:tcPr>
          <w:p>
            <w:pPr>
              <w:spacing w:before="120"/>
              <w:ind w:firstLine="0" w:firstLineChars="0"/>
              <w:jc w:val="center"/>
              <w:rPr>
                <w:rFonts w:hint="eastAsia" w:ascii="楷体" w:hAnsi="楷体" w:eastAsia="楷体" w:cs="Times New Roman"/>
                <w:kern w:val="0"/>
                <w:sz w:val="21"/>
                <w:szCs w:val="21"/>
              </w:rPr>
            </w:pPr>
            <w:r>
              <w:rPr>
                <w:rFonts w:hint="eastAsia" w:ascii="楷体" w:hAnsi="楷体" w:eastAsia="楷体" w:cs="Times New Roman"/>
                <w:kern w:val="0"/>
                <w:sz w:val="21"/>
                <w:szCs w:val="21"/>
              </w:rPr>
              <w:t>82</w:t>
            </w:r>
          </w:p>
        </w:tc>
      </w:tr>
    </w:tbl>
    <w:p>
      <w:pPr>
        <w:pStyle w:val="4"/>
        <w:numPr>
          <w:ilvl w:val="0"/>
          <w:numId w:val="0"/>
        </w:numPr>
        <w:ind w:leftChars="0" w:firstLine="640" w:firstLineChars="200"/>
        <w:rPr>
          <w:rFonts w:hint="eastAsia" w:ascii="黑体" w:hAnsi="黑体" w:eastAsia="黑体" w:cs="黑体"/>
          <w:b w:val="0"/>
          <w:bCs w:val="0"/>
        </w:rPr>
      </w:pPr>
      <w:r>
        <w:rPr>
          <w:rFonts w:hint="eastAsia" w:ascii="黑体" w:hAnsi="黑体" w:eastAsia="黑体" w:cs="黑体"/>
          <w:b w:val="0"/>
          <w:bCs w:val="0"/>
          <w:lang w:eastAsia="zh-CN"/>
        </w:rPr>
        <w:t>七、</w:t>
      </w:r>
      <w:r>
        <w:rPr>
          <w:rFonts w:hint="eastAsia" w:ascii="黑体" w:hAnsi="黑体" w:eastAsia="黑体" w:cs="黑体"/>
          <w:b w:val="0"/>
          <w:bCs w:val="0"/>
        </w:rPr>
        <w:t>停车管理政策</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一</w:t>
      </w:r>
      <w:r>
        <w:rPr>
          <w:rFonts w:hint="eastAsia" w:ascii="仿宋_GB2312" w:hAnsi="仿宋_GB2312" w:eastAsia="仿宋_GB2312" w:cs="仿宋_GB2312"/>
          <w:b/>
          <w:bCs/>
          <w:sz w:val="32"/>
          <w:szCs w:val="32"/>
        </w:rPr>
        <w:t>）土地供应管理政策</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制定近期停车设施用地供应计划，建立动态调整机制。</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明确规定停车设施用地不得用于其他非停车相关的商业或住宅开发，对擅自改变土地用途的行为，制定相应的处罚措施。</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通过制定土地价格优惠政策、允许停车用地有一定规模物业开发等方式，来鼓励社会资本参与停车设施建设。</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鼓励单位或者个人利用待建土地、存量建设用地等场所设置临时停车场；因政府原因导致暂时无法开发利用的闲置土地，可建设可拆卸临时停车设施设备；尚未供应的政府储备土地，可依法用于建设临时停车场；已实施征迁、出让的暂未开发建设用地，可由政府组织建设临时停车设施；对于已划拨的国有建设用地，建设单位可通过与土地权属单位签订有效的用地协议设置临时停车场。</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二</w:t>
      </w:r>
      <w:r>
        <w:rPr>
          <w:rFonts w:hint="eastAsia" w:ascii="仿宋_GB2312" w:hAnsi="仿宋_GB2312" w:eastAsia="仿宋_GB2312" w:cs="仿宋_GB2312"/>
          <w:b/>
          <w:bCs/>
          <w:sz w:val="32"/>
          <w:szCs w:val="32"/>
        </w:rPr>
        <w:t>）停车执法管理政策</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推动编制停车设施建设管理地方性法规，出台停车设施不动产登记细则，建立健全停车设施建设和运营管理标准规范。</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加强监督区域内各类建筑停车配建情况，对小区内车位租售比例进行规定；对于老旧小区停车设施不能满足业主停车需求的，可以统筹利用业主共有场地设置临时停车设施。</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监管区域内公共停车设施备案情况以及收费情况，建立停车信用奖励和联合惩戒机制。</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建立健全执法联动机制，依法查处违法停车行为；重点关注学校、医院等停车问题突出区域，加强巡逻。</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三</w:t>
      </w:r>
      <w:r>
        <w:rPr>
          <w:rFonts w:hint="eastAsia" w:ascii="仿宋_GB2312" w:hAnsi="仿宋_GB2312" w:eastAsia="仿宋_GB2312" w:cs="仿宋_GB2312"/>
          <w:b/>
          <w:bCs/>
          <w:sz w:val="32"/>
          <w:szCs w:val="32"/>
        </w:rPr>
        <w:t>）停车收费管理政策</w:t>
      </w:r>
    </w:p>
    <w:p>
      <w:pPr>
        <w:ind w:left="0" w:leftChars="0" w:firstLine="640"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rPr>
        <w:t>收费机制</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学制定差异化收费标准，并建立动态调整机制。凡属于占用公共资源的道路临时停车泊位和政府所有的公共停车场均应实行政府定价；对具有自然垄断经营性质的停车场，如车站、旅游景点、住宅区等实行政府指导价；对专用停车场和竞争性行业的配套停车场，如商场、娱乐场所、宾馆饭店、写字楼等建筑物的配套停车场实行市场调节价。</w:t>
      </w:r>
    </w:p>
    <w:p>
      <w:pPr>
        <w:ind w:left="0" w:leftChars="0" w:firstLine="640"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收费分区</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上党区停车收费分成两个等级区域，一类区为体育街以南、新建路以东、正大路以西、振东街以北的区域，二类区为除一类区以外的城市建设区。</w:t>
      </w:r>
    </w:p>
    <w:p>
      <w:pPr>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039360" cy="6162675"/>
            <wp:effectExtent l="0" t="0" r="8890" b="9525"/>
            <wp:docPr id="39401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1306"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t="8818" b="4837"/>
                    <a:stretch>
                      <a:fillRect/>
                    </a:stretch>
                  </pic:blipFill>
                  <pic:spPr>
                    <a:xfrm>
                      <a:off x="0" y="0"/>
                      <a:ext cx="5040000" cy="6164077"/>
                    </a:xfrm>
                    <a:prstGeom prst="rect">
                      <a:avLst/>
                    </a:prstGeom>
                    <a:noFill/>
                    <a:ln>
                      <a:noFill/>
                    </a:ln>
                  </pic:spPr>
                </pic:pic>
              </a:graphicData>
            </a:graphic>
          </wp:inline>
        </w:drawing>
      </w:r>
    </w:p>
    <w:p>
      <w:pPr>
        <w:pStyle w:val="7"/>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图4 停车收费分区</w:t>
      </w:r>
    </w:p>
    <w:p>
      <w:pPr>
        <w:ind w:firstLine="6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rPr>
        <w:t>收费原则</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参考山西省内类似城市、长治市的停车收费要求，结合现状收费标准，考虑居民承受能力，制定分区收费标准。按路内停车大于公共停车场，一类区大于二类区，中大型车大于小型车，白天大于夜间的原则定价。</w:t>
      </w:r>
    </w:p>
    <w:p>
      <w:pPr>
        <w:ind w:firstLine="6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收费体系</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时收费：路内停车30分钟内免费，公共停车场1小时内免费，以后采取累进费率的原则进行收费，并限定日最高收费。路内停车价格大约是公共停车场的1.5～2倍，一类区价格大约是二类区价格的1.5～2倍，中大型车在小型车基础上上浮20%，白天价格大约是夜间价格1.5～2倍。</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次收费：路内停车30分钟内免费，公共停车场1小时内免费，按某一时间段内固定价格进行收费。路内停车价格大约是公共停车场的1.2～1.5倍，一类区价格大约是二类区价格的1.5～2倍，中大型车在小型车基础上上浮20%，白天价格大约是夜间价格1.5～2倍。</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规划中给出停车收费的定价范围建议，具体的停车收费定价方式采用政府定价、政府指导价、市场调节价三种方式，根据停车场的性质以及所处的位置不同而确定不同的定价方式。</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四</w:t>
      </w:r>
      <w:r>
        <w:rPr>
          <w:rFonts w:hint="eastAsia" w:ascii="仿宋_GB2312" w:hAnsi="仿宋_GB2312" w:eastAsia="仿宋_GB2312" w:cs="仿宋_GB2312"/>
          <w:b/>
          <w:bCs/>
          <w:sz w:val="32"/>
          <w:szCs w:val="32"/>
        </w:rPr>
        <w:t>）停车产业化发展政策</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针对停车产业的扶持政策，优化融资环境；深化“放管服”改革，培育公平开放的停车市场环境；鼓励社会资本参与停车设施的建设和运营，通过市场竞争促进产业的发展和优化；培育公平开放的停车市场环境，鼓励中小微企业和个人申请投资运营公共停车设施；简化投资建设、经营手续办理程序，提高工作效率。</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五</w:t>
      </w:r>
      <w:r>
        <w:rPr>
          <w:rFonts w:hint="eastAsia" w:ascii="仿宋_GB2312" w:hAnsi="仿宋_GB2312" w:eastAsia="仿宋_GB2312" w:cs="仿宋_GB2312"/>
          <w:b/>
          <w:bCs/>
          <w:sz w:val="32"/>
          <w:szCs w:val="32"/>
        </w:rPr>
        <w:t>）新技术应用政策</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推广停车设施建设新技术，鼓励在停车需求较大的区域建设地上停车楼、机械式立体停车场，通过人工智能等技术优化停车系统参数和策略，鼓励建设集停车、商业、办公等多功能于一体的综合体。</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推动ETC停车场景应用，打造ETC+静态交通管理、ETC+车主服务等ETC+产业链，推广使用“ETC”、“先离场后付费”等快捷收费方式。</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加快新能源设施建设，公共停车场需配套新能源汽车充电设施，配置比例不低于10%，设置新能源汽车专用停车位。</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六</w:t>
      </w:r>
      <w:bookmarkStart w:id="2" w:name="_GoBack"/>
      <w:bookmarkEnd w:id="2"/>
      <w:r>
        <w:rPr>
          <w:rFonts w:hint="eastAsia" w:ascii="仿宋_GB2312" w:hAnsi="仿宋_GB2312" w:eastAsia="仿宋_GB2312" w:cs="仿宋_GB2312"/>
          <w:b/>
          <w:bCs/>
          <w:sz w:val="32"/>
          <w:szCs w:val="32"/>
        </w:rPr>
        <w:t>）智慧停车系统及管理政策</w:t>
      </w:r>
    </w:p>
    <w:p>
      <w:pPr>
        <w:ind w:firstLine="6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rPr>
        <w:t>智慧停车系统总体构架及实现功能</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智慧停车系统基于物联网、云计算、大数据等技术，分感知、网络、应用与用户四个层，为全社会所有停车的参与者提供多种服务。</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主要实现对路内路外停车场、停车位、出入口等的智能化管理及运营监测，通过对车辆停车诱导、出入口管理、场内诱导、车位占用感知、路内路外停车管理等停车全过程的监测及管理，实现车位占用、车辆识别、停车收费、管理执法、泊位预约、反向寻车等管理及服务功能。</w:t>
      </w:r>
    </w:p>
    <w:p>
      <w:pPr>
        <w:ind w:firstLine="6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智慧停车管理政策</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规范全区所有停车技术规范，相应出台停车场建设管理办法、停车场信息联网管理办法、电子收费技术要求和停车诱导等停车信息化管理措施和技术规范。</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全区范围内的停车资源汇集，形成GIS地图，集中管理，统一调度。</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建议既有公共停车场、路内停车位进行智能化改造，实时采集停车数据；新建停车场由政府统一规划、指导，实行智能化建设并将数据实时共享。</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通过多种展示载体，实时向公众发布车位实时信息。</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利用视频监控技术、定位技术，划定虚拟停车位，不在区域内无法停车，同时辅助感应设备，实时监测违停情况；市民停车行为记入诚信平台，与交警联网。</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所有停车数据汇总到云平台，通过对相关数据计算分析为缓解交通拥堵、错时停车和停车场规划建设提供决策支持；建立停车共享利用服务应用系统，适时推出“共享车位”。</w:t>
      </w:r>
    </w:p>
    <w:p>
      <w:pPr>
        <w:pStyle w:val="4"/>
        <w:numPr>
          <w:ilvl w:val="0"/>
          <w:numId w:val="0"/>
        </w:numPr>
        <w:ind w:leftChars="0"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八、</w:t>
      </w:r>
      <w:r>
        <w:rPr>
          <w:rFonts w:hint="eastAsia" w:ascii="黑体" w:hAnsi="黑体" w:eastAsia="黑体" w:cs="黑体"/>
          <w:b w:val="0"/>
          <w:bCs w:val="0"/>
          <w:sz w:val="32"/>
          <w:szCs w:val="32"/>
        </w:rPr>
        <w:t>近期建设计划</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规划近期在中心城区内建设718个停车位，其中新建停车场3座，共486个停车位，在3条道路上新增路内停车位232个。取消古韩中路24个停车位。</w:t>
      </w:r>
    </w:p>
    <w:p>
      <w:pPr>
        <w:pStyle w:val="7"/>
        <w:ind w:firstLine="0" w:firstLineChars="0"/>
        <w:jc w:val="center"/>
        <w:rPr>
          <w:rFonts w:hint="eastAsia"/>
        </w:rPr>
      </w:pPr>
      <w:r>
        <w:drawing>
          <wp:inline distT="0" distB="0" distL="0" distR="0">
            <wp:extent cx="5039360" cy="7778115"/>
            <wp:effectExtent l="0" t="0" r="8890" b="13335"/>
            <wp:docPr id="3365044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0449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t="8701" b="4889"/>
                    <a:stretch>
                      <a:fillRect/>
                    </a:stretch>
                  </pic:blipFill>
                  <pic:spPr>
                    <a:xfrm>
                      <a:off x="0" y="0"/>
                      <a:ext cx="5040000" cy="7778115"/>
                    </a:xfrm>
                    <a:prstGeom prst="rect">
                      <a:avLst/>
                    </a:prstGeom>
                    <a:noFill/>
                    <a:ln>
                      <a:noFill/>
                    </a:ln>
                  </pic:spPr>
                </pic:pic>
              </a:graphicData>
            </a:graphic>
          </wp:inline>
        </w:drawing>
      </w:r>
    </w:p>
    <w:p>
      <w:pPr>
        <w:pStyle w:val="7"/>
        <w:ind w:firstLine="0" w:firstLineChars="0"/>
        <w:jc w:val="center"/>
        <w:rPr>
          <w:rFonts w:hint="eastAsia"/>
        </w:rPr>
      </w:pPr>
    </w:p>
    <w:p>
      <w:pPr>
        <w:pStyle w:val="7"/>
        <w:ind w:firstLine="0" w:firstLineChars="0"/>
        <w:jc w:val="center"/>
        <w:rPr>
          <w:rFonts w:hint="eastAsia"/>
        </w:rPr>
      </w:pPr>
      <w:r>
        <w:rPr>
          <w:rFonts w:hint="eastAsia"/>
        </w:rPr>
        <w:t>图5 中心城区停车设施近期建设规划图</w:t>
      </w:r>
    </w:p>
    <w:p>
      <w:pPr>
        <w:pStyle w:val="7"/>
        <w:ind w:firstLine="0" w:firstLineChars="0"/>
        <w:jc w:val="center"/>
        <w:rPr>
          <w:rFonts w:hint="eastAsia"/>
        </w:rPr>
      </w:pPr>
      <w:r>
        <w:rPr>
          <w:rFonts w:hint="eastAsia"/>
        </w:rPr>
        <w:t>表4 中心城区近期停车设施建设规划表</w:t>
      </w:r>
    </w:p>
    <w:tbl>
      <w:tblPr>
        <w:tblStyle w:val="4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14"/>
        <w:gridCol w:w="1164"/>
        <w:gridCol w:w="2914"/>
        <w:gridCol w:w="1164"/>
        <w:gridCol w:w="1166"/>
        <w:gridCol w:w="11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19" w:hRule="atLeast"/>
        </w:trPr>
        <w:tc>
          <w:tcPr>
            <w:tcW w:w="595"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类型</w:t>
            </w:r>
          </w:p>
        </w:tc>
        <w:tc>
          <w:tcPr>
            <w:tcW w:w="683"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名称</w:t>
            </w:r>
          </w:p>
        </w:tc>
        <w:tc>
          <w:tcPr>
            <w:tcW w:w="1709"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位置</w:t>
            </w:r>
          </w:p>
        </w:tc>
        <w:tc>
          <w:tcPr>
            <w:tcW w:w="683"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停车泊位（个）</w:t>
            </w:r>
          </w:p>
        </w:tc>
        <w:tc>
          <w:tcPr>
            <w:tcW w:w="684"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建筑类型</w:t>
            </w:r>
          </w:p>
        </w:tc>
        <w:tc>
          <w:tcPr>
            <w:tcW w:w="645" w:type="pct"/>
            <w:vAlign w:val="center"/>
          </w:tcPr>
          <w:p>
            <w:pPr>
              <w:spacing w:before="120"/>
              <w:ind w:firstLine="0" w:firstLineChars="0"/>
              <w:jc w:val="center"/>
              <w:rPr>
                <w:rFonts w:hint="eastAsia" w:ascii="黑体" w:hAnsi="黑体" w:eastAsia="黑体" w:cs="Times New Roman"/>
                <w:b/>
                <w:bCs/>
                <w:kern w:val="0"/>
                <w:sz w:val="21"/>
                <w:szCs w:val="21"/>
              </w:rPr>
            </w:pPr>
            <w:r>
              <w:rPr>
                <w:rFonts w:hint="eastAsia" w:ascii="黑体" w:hAnsi="黑体" w:eastAsia="黑体" w:cs="Times New Roman"/>
                <w:b/>
                <w:bCs/>
                <w:kern w:val="0"/>
                <w:sz w:val="21"/>
                <w:szCs w:val="21"/>
              </w:rPr>
              <w:t>建设年限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95"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公共停车场</w:t>
            </w: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21</w:t>
            </w:r>
          </w:p>
        </w:tc>
        <w:tc>
          <w:tcPr>
            <w:tcW w:w="1709"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综合体育馆北侧</w:t>
            </w: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231</w:t>
            </w:r>
          </w:p>
        </w:tc>
        <w:tc>
          <w:tcPr>
            <w:tcW w:w="684"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45"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2024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95"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54</w:t>
            </w:r>
          </w:p>
        </w:tc>
        <w:tc>
          <w:tcPr>
            <w:tcW w:w="1709"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府后西街与西华北路东南角</w:t>
            </w: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55</w:t>
            </w:r>
          </w:p>
        </w:tc>
        <w:tc>
          <w:tcPr>
            <w:tcW w:w="684" w:type="pct"/>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45"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2025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5" w:hRule="atLeast"/>
        </w:trPr>
        <w:tc>
          <w:tcPr>
            <w:tcW w:w="595"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59</w:t>
            </w:r>
          </w:p>
        </w:tc>
        <w:tc>
          <w:tcPr>
            <w:tcW w:w="1709"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府前广场，区政府对面</w:t>
            </w: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200</w:t>
            </w:r>
          </w:p>
        </w:tc>
        <w:tc>
          <w:tcPr>
            <w:tcW w:w="684" w:type="pct"/>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45"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2025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95" w:type="pct"/>
            <w:vMerge w:val="restar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路内停车位</w:t>
            </w: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古韩中路</w:t>
            </w:r>
          </w:p>
        </w:tc>
        <w:tc>
          <w:tcPr>
            <w:tcW w:w="1709"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新市西街至振东西街段</w:t>
            </w: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取消24</w:t>
            </w:r>
          </w:p>
        </w:tc>
        <w:tc>
          <w:tcPr>
            <w:tcW w:w="684" w:type="pct"/>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45"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2024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95"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峪北巷</w:t>
            </w:r>
          </w:p>
        </w:tc>
        <w:tc>
          <w:tcPr>
            <w:tcW w:w="1709"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德善路至洪福路段</w:t>
            </w: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55</w:t>
            </w:r>
          </w:p>
        </w:tc>
        <w:tc>
          <w:tcPr>
            <w:tcW w:w="684" w:type="pct"/>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45"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2025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95"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博裕巷</w:t>
            </w:r>
          </w:p>
        </w:tc>
        <w:tc>
          <w:tcPr>
            <w:tcW w:w="1709"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德善路至光明路段</w:t>
            </w: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78</w:t>
            </w:r>
          </w:p>
        </w:tc>
        <w:tc>
          <w:tcPr>
            <w:tcW w:w="684" w:type="pct"/>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45"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2024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1" w:hRule="atLeast"/>
        </w:trPr>
        <w:tc>
          <w:tcPr>
            <w:tcW w:w="595" w:type="pct"/>
            <w:vMerge w:val="continue"/>
            <w:vAlign w:val="center"/>
          </w:tcPr>
          <w:p>
            <w:pPr>
              <w:spacing w:before="120"/>
              <w:ind w:firstLine="0" w:firstLineChars="0"/>
              <w:jc w:val="center"/>
              <w:rPr>
                <w:rFonts w:hint="eastAsia" w:ascii="黑体" w:hAnsi="黑体" w:eastAsia="黑体" w:cs="Times New Roman"/>
                <w:kern w:val="0"/>
                <w:sz w:val="21"/>
                <w:szCs w:val="21"/>
              </w:rPr>
            </w:pP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古桥街</w:t>
            </w:r>
          </w:p>
        </w:tc>
        <w:tc>
          <w:tcPr>
            <w:tcW w:w="1709" w:type="pct"/>
            <w:vAlign w:val="center"/>
          </w:tcPr>
          <w:p>
            <w:pPr>
              <w:spacing w:before="120"/>
              <w:ind w:firstLine="0" w:firstLineChars="0"/>
              <w:jc w:val="center"/>
              <w:rPr>
                <w:rFonts w:hint="eastAsia" w:ascii="黑体" w:hAnsi="黑体" w:eastAsia="黑体" w:cs="Times New Roman"/>
                <w:kern w:val="0"/>
                <w:sz w:val="21"/>
                <w:szCs w:val="21"/>
              </w:rPr>
            </w:pPr>
            <w:r>
              <w:rPr>
                <w:rFonts w:ascii="黑体" w:hAnsi="黑体" w:eastAsia="黑体" w:cs="Times New Roman"/>
                <w:kern w:val="0"/>
                <w:sz w:val="21"/>
                <w:szCs w:val="21"/>
              </w:rPr>
              <w:t>G208至光明南路段</w:t>
            </w:r>
          </w:p>
        </w:tc>
        <w:tc>
          <w:tcPr>
            <w:tcW w:w="683"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99</w:t>
            </w:r>
          </w:p>
        </w:tc>
        <w:tc>
          <w:tcPr>
            <w:tcW w:w="684" w:type="pct"/>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地面</w:t>
            </w:r>
          </w:p>
        </w:tc>
        <w:tc>
          <w:tcPr>
            <w:tcW w:w="645" w:type="pct"/>
            <w:vAlign w:val="center"/>
          </w:tcPr>
          <w:p>
            <w:pPr>
              <w:spacing w:before="120"/>
              <w:ind w:firstLine="0" w:firstLineChars="0"/>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2024</w:t>
            </w:r>
          </w:p>
        </w:tc>
      </w:tr>
    </w:tbl>
    <w:p>
      <w:pPr>
        <w:ind w:firstLine="600"/>
        <w:rPr>
          <w:rFonts w:hint="eastAsia"/>
        </w:rPr>
      </w:pPr>
    </w:p>
    <w:sectPr>
      <w:footerReference r:id="rId10"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00"/>
      </w:pPr>
      <w:r>
        <w:separator/>
      </w:r>
    </w:p>
  </w:endnote>
  <w:endnote w:type="continuationSeparator" w:id="1">
    <w:p>
      <w:pPr>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EU-B1"/>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EU-B1"/>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等线">
    <w:altName w:val="仿宋_GB2312"/>
    <w:panose1 w:val="00000000000000000000"/>
    <w:charset w:val="86"/>
    <w:family w:val="auto"/>
    <w:pitch w:val="default"/>
    <w:sig w:usb0="00000000" w:usb1="00000000" w:usb2="00000000" w:usb3="00000000" w:csb0="00000000" w:csb1="00000000"/>
  </w:font>
  <w:font w:name="等线">
    <w:altName w:val="C059"/>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C059">
    <w:panose1 w:val="00000500000000000000"/>
    <w:charset w:val="00"/>
    <w:family w:val="auto"/>
    <w:pitch w:val="default"/>
    <w:sig w:usb0="00000287" w:usb1="00000800" w:usb2="00000000" w:usb3="00000000" w:csb0="6000009F" w:csb1="00000000"/>
  </w:font>
  <w:font w:name="Liberation Serif">
    <w:panose1 w:val="02020603050405020304"/>
    <w:charset w:val="00"/>
    <w:family w:val="auto"/>
    <w:pitch w:val="default"/>
    <w:sig w:usb0="A00002AF" w:usb1="500078FB" w:usb2="00000000" w:usb3="00000000" w:csb0="6000009F" w:csb1="DFD70000"/>
  </w:font>
  <w:font w:name="等线 Light">
    <w:altName w:val="C059"/>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20"/>
      <w:jc w:val="center"/>
      <w:rPr>
        <w:rFonts w:hint="eastAsia"/>
        <w:sz w:val="21"/>
        <w:szCs w:val="21"/>
      </w:rPr>
    </w:pPr>
  </w:p>
  <w:p>
    <w:pPr>
      <w:pStyle w:val="12"/>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EndPr>
      <w:rPr>
        <w:sz w:val="21"/>
        <w:szCs w:val="21"/>
      </w:rPr>
    </w:sdtEndPr>
    <w:sdtContent>
      <w:p>
        <w:pPr>
          <w:pStyle w:val="12"/>
          <w:ind w:firstLine="360"/>
          <w:jc w:val="center"/>
          <w:rPr>
            <w:rFonts w:hint="eastAsia"/>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12"/>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00"/>
      </w:pPr>
      <w:r>
        <w:separator/>
      </w:r>
    </w:p>
  </w:footnote>
  <w:footnote w:type="continuationSeparator" w:id="1">
    <w:p>
      <w:pPr>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A078F3"/>
    <w:multiLevelType w:val="multilevel"/>
    <w:tmpl w:val="77A078F3"/>
    <w:lvl w:ilvl="0" w:tentative="0">
      <w:start w:val="1"/>
      <w:numFmt w:val="decimal"/>
      <w:pStyle w:val="4"/>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06D"/>
    <w:rsid w:val="00021EEC"/>
    <w:rsid w:val="000742DB"/>
    <w:rsid w:val="00092408"/>
    <w:rsid w:val="000933DD"/>
    <w:rsid w:val="000A6743"/>
    <w:rsid w:val="000A6C4A"/>
    <w:rsid w:val="000C1A64"/>
    <w:rsid w:val="000C7254"/>
    <w:rsid w:val="001003C8"/>
    <w:rsid w:val="00121DC0"/>
    <w:rsid w:val="00154C35"/>
    <w:rsid w:val="001800AA"/>
    <w:rsid w:val="001A12E1"/>
    <w:rsid w:val="001C5BF0"/>
    <w:rsid w:val="002100D4"/>
    <w:rsid w:val="002415AC"/>
    <w:rsid w:val="00277B96"/>
    <w:rsid w:val="00283B4A"/>
    <w:rsid w:val="00304217"/>
    <w:rsid w:val="00320CC1"/>
    <w:rsid w:val="003604E4"/>
    <w:rsid w:val="00372126"/>
    <w:rsid w:val="003A54B2"/>
    <w:rsid w:val="003C4063"/>
    <w:rsid w:val="0044453F"/>
    <w:rsid w:val="004517E9"/>
    <w:rsid w:val="004D2F00"/>
    <w:rsid w:val="004D5F40"/>
    <w:rsid w:val="00502AC7"/>
    <w:rsid w:val="00527970"/>
    <w:rsid w:val="00591814"/>
    <w:rsid w:val="00592149"/>
    <w:rsid w:val="005C2E44"/>
    <w:rsid w:val="005E1BF3"/>
    <w:rsid w:val="00610498"/>
    <w:rsid w:val="006152F3"/>
    <w:rsid w:val="00627E79"/>
    <w:rsid w:val="0063794E"/>
    <w:rsid w:val="0065730B"/>
    <w:rsid w:val="006E3E23"/>
    <w:rsid w:val="007055DF"/>
    <w:rsid w:val="00716BC3"/>
    <w:rsid w:val="00745EEC"/>
    <w:rsid w:val="00785D94"/>
    <w:rsid w:val="007B65A1"/>
    <w:rsid w:val="0084122F"/>
    <w:rsid w:val="00886758"/>
    <w:rsid w:val="008C2895"/>
    <w:rsid w:val="008E234F"/>
    <w:rsid w:val="008E6A73"/>
    <w:rsid w:val="00950190"/>
    <w:rsid w:val="009E17F1"/>
    <w:rsid w:val="00A2126C"/>
    <w:rsid w:val="00A46AE4"/>
    <w:rsid w:val="00A50E9D"/>
    <w:rsid w:val="00A645C1"/>
    <w:rsid w:val="00A76359"/>
    <w:rsid w:val="00A81348"/>
    <w:rsid w:val="00AA7C51"/>
    <w:rsid w:val="00AD2DA6"/>
    <w:rsid w:val="00AD69ED"/>
    <w:rsid w:val="00B1706C"/>
    <w:rsid w:val="00C36667"/>
    <w:rsid w:val="00C54DD8"/>
    <w:rsid w:val="00CB3F51"/>
    <w:rsid w:val="00CB49E8"/>
    <w:rsid w:val="00CD1DDF"/>
    <w:rsid w:val="00CD4D52"/>
    <w:rsid w:val="00CD77C5"/>
    <w:rsid w:val="00D06535"/>
    <w:rsid w:val="00D17A3B"/>
    <w:rsid w:val="00D91393"/>
    <w:rsid w:val="00D95EB2"/>
    <w:rsid w:val="00D96462"/>
    <w:rsid w:val="00DD2696"/>
    <w:rsid w:val="00DD2B80"/>
    <w:rsid w:val="00DD30D0"/>
    <w:rsid w:val="00DE1C2B"/>
    <w:rsid w:val="00DE406D"/>
    <w:rsid w:val="00E0416F"/>
    <w:rsid w:val="00E159C9"/>
    <w:rsid w:val="00E416FB"/>
    <w:rsid w:val="00E51488"/>
    <w:rsid w:val="00E7670C"/>
    <w:rsid w:val="00EE788B"/>
    <w:rsid w:val="00EF7335"/>
    <w:rsid w:val="00F24FB9"/>
    <w:rsid w:val="00F41347"/>
    <w:rsid w:val="00F770FA"/>
    <w:rsid w:val="00F80139"/>
    <w:rsid w:val="00F80283"/>
    <w:rsid w:val="00FB2A59"/>
    <w:rsid w:val="00FD20A0"/>
    <w:rsid w:val="5DFFF270"/>
    <w:rsid w:val="DB991E92"/>
    <w:rsid w:val="E7AF4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30"/>
      <w:szCs w:val="22"/>
      <w:lang w:val="en-US" w:eastAsia="zh-CN" w:bidi="ar-SA"/>
    </w:rPr>
  </w:style>
  <w:style w:type="paragraph" w:styleId="2">
    <w:name w:val="heading 1"/>
    <w:next w:val="1"/>
    <w:link w:val="25"/>
    <w:qFormat/>
    <w:uiPriority w:val="0"/>
    <w:pPr>
      <w:keepNext/>
      <w:keepLines/>
      <w:spacing w:before="340" w:after="330" w:line="578" w:lineRule="auto"/>
      <w:jc w:val="center"/>
      <w:outlineLvl w:val="0"/>
    </w:pPr>
    <w:rPr>
      <w:rFonts w:eastAsia="方正小标宋_GBK" w:asciiTheme="minorHAnsi" w:hAnsiTheme="minorHAnsi" w:cstheme="minorBidi"/>
      <w:bCs/>
      <w:kern w:val="44"/>
      <w:sz w:val="36"/>
      <w:szCs w:val="44"/>
      <w:lang w:val="zh-CN" w:eastAsia="zh-CN" w:bidi="ar-SA"/>
    </w:rPr>
  </w:style>
  <w:style w:type="paragraph" w:styleId="3">
    <w:name w:val="heading 2"/>
    <w:basedOn w:val="1"/>
    <w:next w:val="1"/>
    <w:link w:val="3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5"/>
    <w:next w:val="1"/>
    <w:link w:val="26"/>
    <w:qFormat/>
    <w:uiPriority w:val="0"/>
    <w:pPr>
      <w:numPr>
        <w:ilvl w:val="0"/>
        <w:numId w:val="1"/>
      </w:numPr>
      <w:ind w:firstLineChars="0"/>
      <w:outlineLvl w:val="2"/>
    </w:pPr>
    <w:rPr>
      <w:b/>
      <w:bCs/>
      <w:sz w:val="32"/>
      <w:szCs w:val="24"/>
      <w:lang w:val="zh-CN"/>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List Paragraph"/>
    <w:basedOn w:val="1"/>
    <w:qFormat/>
    <w:uiPriority w:val="34"/>
    <w:pPr>
      <w:ind w:firstLine="420"/>
    </w:pPr>
  </w:style>
  <w:style w:type="paragraph" w:styleId="6">
    <w:name w:val="toc 7"/>
    <w:basedOn w:val="1"/>
    <w:next w:val="1"/>
    <w:autoRedefine/>
    <w:unhideWhenUsed/>
    <w:qFormat/>
    <w:uiPriority w:val="39"/>
    <w:pPr>
      <w:ind w:left="1800"/>
      <w:jc w:val="left"/>
    </w:pPr>
    <w:rPr>
      <w:rFonts w:eastAsiaTheme="minorHAnsi"/>
      <w:sz w:val="20"/>
      <w:szCs w:val="20"/>
    </w:r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27"/>
    <w:semiHidden/>
    <w:unhideWhenUsed/>
    <w:qFormat/>
    <w:uiPriority w:val="99"/>
    <w:pPr>
      <w:jc w:val="left"/>
    </w:pPr>
  </w:style>
  <w:style w:type="paragraph" w:styleId="9">
    <w:name w:val="toc 5"/>
    <w:basedOn w:val="1"/>
    <w:next w:val="1"/>
    <w:autoRedefine/>
    <w:unhideWhenUsed/>
    <w:qFormat/>
    <w:uiPriority w:val="39"/>
    <w:pPr>
      <w:ind w:left="1200"/>
      <w:jc w:val="left"/>
    </w:pPr>
    <w:rPr>
      <w:rFonts w:eastAsiaTheme="minorHAnsi"/>
      <w:sz w:val="20"/>
      <w:szCs w:val="20"/>
    </w:rPr>
  </w:style>
  <w:style w:type="paragraph" w:styleId="10">
    <w:name w:val="toc 3"/>
    <w:basedOn w:val="1"/>
    <w:next w:val="1"/>
    <w:autoRedefine/>
    <w:unhideWhenUsed/>
    <w:qFormat/>
    <w:uiPriority w:val="39"/>
    <w:pPr>
      <w:ind w:left="600"/>
      <w:jc w:val="left"/>
    </w:pPr>
    <w:rPr>
      <w:rFonts w:eastAsia="楷体"/>
      <w:sz w:val="32"/>
      <w:szCs w:val="20"/>
    </w:rPr>
  </w:style>
  <w:style w:type="paragraph" w:styleId="11">
    <w:name w:val="toc 8"/>
    <w:basedOn w:val="1"/>
    <w:next w:val="1"/>
    <w:autoRedefine/>
    <w:unhideWhenUsed/>
    <w:qFormat/>
    <w:uiPriority w:val="39"/>
    <w:pPr>
      <w:ind w:left="2100"/>
      <w:jc w:val="left"/>
    </w:pPr>
    <w:rPr>
      <w:rFonts w:eastAsiaTheme="minorHAnsi"/>
      <w:sz w:val="20"/>
      <w:szCs w:val="20"/>
    </w:rPr>
  </w:style>
  <w:style w:type="paragraph" w:styleId="12">
    <w:name w:val="footer"/>
    <w:basedOn w:val="1"/>
    <w:link w:val="30"/>
    <w:unhideWhenUsed/>
    <w:qFormat/>
    <w:uiPriority w:val="99"/>
    <w:pPr>
      <w:tabs>
        <w:tab w:val="center" w:pos="4153"/>
        <w:tab w:val="right" w:pos="8306"/>
      </w:tabs>
      <w:snapToGrid w:val="0"/>
      <w:jc w:val="left"/>
    </w:pPr>
    <w:rPr>
      <w:sz w:val="18"/>
      <w:szCs w:val="18"/>
    </w:rPr>
  </w:style>
  <w:style w:type="paragraph" w:styleId="13">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next w:val="1"/>
    <w:autoRedefine/>
    <w:unhideWhenUsed/>
    <w:qFormat/>
    <w:uiPriority w:val="39"/>
    <w:pPr>
      <w:spacing w:before="120"/>
    </w:pPr>
    <w:rPr>
      <w:rFonts w:eastAsia="方正小标宋_GBK" w:asciiTheme="minorHAnsi" w:hAnsiTheme="minorHAnsi" w:cstheme="minorBidi"/>
      <w:bCs/>
      <w:iCs/>
      <w:kern w:val="2"/>
      <w:sz w:val="36"/>
      <w:szCs w:val="24"/>
      <w:lang w:val="en-US" w:eastAsia="zh-CN" w:bidi="ar-SA"/>
    </w:rPr>
  </w:style>
  <w:style w:type="paragraph" w:styleId="15">
    <w:name w:val="toc 4"/>
    <w:basedOn w:val="1"/>
    <w:next w:val="1"/>
    <w:autoRedefine/>
    <w:unhideWhenUsed/>
    <w:qFormat/>
    <w:uiPriority w:val="39"/>
    <w:pPr>
      <w:ind w:left="900"/>
      <w:jc w:val="left"/>
    </w:pPr>
    <w:rPr>
      <w:rFonts w:eastAsiaTheme="minorHAnsi"/>
      <w:sz w:val="20"/>
      <w:szCs w:val="20"/>
    </w:rPr>
  </w:style>
  <w:style w:type="paragraph" w:styleId="16">
    <w:name w:val="toc 6"/>
    <w:basedOn w:val="1"/>
    <w:next w:val="1"/>
    <w:autoRedefine/>
    <w:unhideWhenUsed/>
    <w:qFormat/>
    <w:uiPriority w:val="39"/>
    <w:pPr>
      <w:ind w:left="1500"/>
      <w:jc w:val="left"/>
    </w:pPr>
    <w:rPr>
      <w:rFonts w:eastAsiaTheme="minorHAnsi"/>
      <w:sz w:val="20"/>
      <w:szCs w:val="20"/>
    </w:rPr>
  </w:style>
  <w:style w:type="paragraph" w:styleId="17">
    <w:name w:val="toc 2"/>
    <w:next w:val="1"/>
    <w:autoRedefine/>
    <w:unhideWhenUsed/>
    <w:qFormat/>
    <w:uiPriority w:val="39"/>
    <w:pPr>
      <w:spacing w:before="120"/>
      <w:ind w:left="300"/>
    </w:pPr>
    <w:rPr>
      <w:rFonts w:eastAsia="楷体" w:asciiTheme="minorHAnsi" w:hAnsiTheme="minorHAnsi" w:cstheme="minorBidi"/>
      <w:b/>
      <w:bCs/>
      <w:kern w:val="2"/>
      <w:sz w:val="32"/>
      <w:szCs w:val="22"/>
      <w:lang w:val="en-US" w:eastAsia="zh-CN" w:bidi="ar-SA"/>
    </w:rPr>
  </w:style>
  <w:style w:type="paragraph" w:styleId="18">
    <w:name w:val="toc 9"/>
    <w:basedOn w:val="1"/>
    <w:next w:val="1"/>
    <w:autoRedefine/>
    <w:unhideWhenUsed/>
    <w:qFormat/>
    <w:uiPriority w:val="39"/>
    <w:pPr>
      <w:ind w:left="2400"/>
      <w:jc w:val="left"/>
    </w:pPr>
    <w:rPr>
      <w:rFonts w:eastAsiaTheme="minorHAnsi"/>
      <w:sz w:val="20"/>
      <w:szCs w:val="20"/>
    </w:rPr>
  </w:style>
  <w:style w:type="paragraph" w:styleId="19">
    <w:name w:val="annotation subject"/>
    <w:basedOn w:val="8"/>
    <w:next w:val="8"/>
    <w:link w:val="28"/>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563C1" w:themeColor="hyperlink"/>
      <w:u w:val="single"/>
      <w14:textFill>
        <w14:solidFill>
          <w14:schemeClr w14:val="hlink"/>
        </w14:solidFill>
      </w14:textFill>
    </w:rPr>
  </w:style>
  <w:style w:type="character" w:styleId="24">
    <w:name w:val="annotation reference"/>
    <w:basedOn w:val="22"/>
    <w:semiHidden/>
    <w:unhideWhenUsed/>
    <w:qFormat/>
    <w:uiPriority w:val="99"/>
    <w:rPr>
      <w:sz w:val="21"/>
      <w:szCs w:val="21"/>
    </w:rPr>
  </w:style>
  <w:style w:type="character" w:customStyle="1" w:styleId="25">
    <w:name w:val="标题 1 字符"/>
    <w:basedOn w:val="22"/>
    <w:link w:val="2"/>
    <w:qFormat/>
    <w:uiPriority w:val="0"/>
    <w:rPr>
      <w:rFonts w:eastAsia="方正小标宋_GBK"/>
      <w:bCs/>
      <w:kern w:val="44"/>
      <w:sz w:val="36"/>
      <w:szCs w:val="44"/>
      <w:lang w:val="zh-CN"/>
    </w:rPr>
  </w:style>
  <w:style w:type="character" w:customStyle="1" w:styleId="26">
    <w:name w:val="标题 3 字符"/>
    <w:basedOn w:val="22"/>
    <w:link w:val="4"/>
    <w:qFormat/>
    <w:uiPriority w:val="0"/>
    <w:rPr>
      <w:rFonts w:eastAsia="仿宋_GB2312"/>
      <w:b/>
      <w:bCs/>
      <w:sz w:val="32"/>
      <w:szCs w:val="24"/>
      <w:lang w:val="zh-CN"/>
    </w:rPr>
  </w:style>
  <w:style w:type="character" w:customStyle="1" w:styleId="27">
    <w:name w:val="批注文字 字符"/>
    <w:basedOn w:val="22"/>
    <w:link w:val="8"/>
    <w:semiHidden/>
    <w:qFormat/>
    <w:uiPriority w:val="99"/>
  </w:style>
  <w:style w:type="character" w:customStyle="1" w:styleId="28">
    <w:name w:val="批注主题 字符"/>
    <w:basedOn w:val="27"/>
    <w:link w:val="19"/>
    <w:semiHidden/>
    <w:qFormat/>
    <w:uiPriority w:val="99"/>
    <w:rPr>
      <w:b/>
      <w:bCs/>
    </w:rPr>
  </w:style>
  <w:style w:type="character" w:customStyle="1" w:styleId="29">
    <w:name w:val="页眉 字符"/>
    <w:basedOn w:val="22"/>
    <w:link w:val="13"/>
    <w:qFormat/>
    <w:uiPriority w:val="99"/>
    <w:rPr>
      <w:rFonts w:eastAsia="仿宋_GB2312"/>
      <w:sz w:val="18"/>
      <w:szCs w:val="18"/>
    </w:rPr>
  </w:style>
  <w:style w:type="character" w:customStyle="1" w:styleId="30">
    <w:name w:val="页脚 字符"/>
    <w:basedOn w:val="22"/>
    <w:link w:val="12"/>
    <w:qFormat/>
    <w:uiPriority w:val="99"/>
    <w:rPr>
      <w:rFonts w:eastAsia="仿宋_GB2312"/>
      <w:sz w:val="18"/>
      <w:szCs w:val="18"/>
    </w:rPr>
  </w:style>
  <w:style w:type="paragraph" w:customStyle="1" w:styleId="31">
    <w:name w:val="TOC Heading"/>
    <w:basedOn w:val="2"/>
    <w:next w:val="1"/>
    <w:unhideWhenUsed/>
    <w:qFormat/>
    <w:uiPriority w:val="39"/>
    <w:pPr>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lang w:val="en-US"/>
    </w:rPr>
  </w:style>
  <w:style w:type="paragraph" w:styleId="32">
    <w:name w:val="No Spacing"/>
    <w:qFormat/>
    <w:uiPriority w:val="1"/>
    <w:pPr>
      <w:widowControl w:val="0"/>
      <w:ind w:firstLine="200" w:firstLineChars="200"/>
      <w:jc w:val="both"/>
    </w:pPr>
    <w:rPr>
      <w:rFonts w:eastAsia="仿宋_GB2312" w:asciiTheme="minorHAnsi" w:hAnsiTheme="minorHAnsi" w:cstheme="minorBidi"/>
      <w:kern w:val="2"/>
      <w:sz w:val="30"/>
      <w:szCs w:val="22"/>
      <w:lang w:val="en-US" w:eastAsia="zh-CN" w:bidi="ar-SA"/>
    </w:rPr>
  </w:style>
  <w:style w:type="paragraph" w:customStyle="1" w:styleId="33">
    <w:name w:val="封面"/>
    <w:link w:val="34"/>
    <w:qFormat/>
    <w:uiPriority w:val="0"/>
    <w:pPr>
      <w:spacing w:line="640" w:lineRule="exact"/>
      <w:jc w:val="right"/>
    </w:pPr>
    <w:rPr>
      <w:rFonts w:ascii="华文中宋" w:hAnsi="华文中宋" w:eastAsia="华文中宋" w:cs="Times New Roman"/>
      <w:kern w:val="2"/>
      <w:sz w:val="36"/>
      <w:szCs w:val="72"/>
      <w:lang w:val="en-US" w:eastAsia="zh-CN" w:bidi="ar-SA"/>
    </w:rPr>
  </w:style>
  <w:style w:type="character" w:customStyle="1" w:styleId="34">
    <w:name w:val="封面 字符"/>
    <w:basedOn w:val="22"/>
    <w:link w:val="33"/>
    <w:qFormat/>
    <w:uiPriority w:val="0"/>
    <w:rPr>
      <w:rFonts w:ascii="华文中宋" w:hAnsi="华文中宋" w:eastAsia="华文中宋" w:cs="Times New Roman"/>
      <w:sz w:val="36"/>
      <w:szCs w:val="72"/>
    </w:rPr>
  </w:style>
  <w:style w:type="paragraph" w:customStyle="1" w:styleId="35">
    <w:name w:val="表格"/>
    <w:link w:val="36"/>
    <w:qFormat/>
    <w:uiPriority w:val="0"/>
    <w:pPr>
      <w:adjustRightInd w:val="0"/>
      <w:snapToGrid w:val="0"/>
    </w:pPr>
    <w:rPr>
      <w:rFonts w:eastAsia="仿宋_GB2312" w:asciiTheme="minorHAnsi" w:hAnsiTheme="minorHAnsi" w:cstheme="minorBidi"/>
      <w:kern w:val="2"/>
      <w:sz w:val="21"/>
      <w:szCs w:val="16"/>
      <w:lang w:val="zh-CN" w:eastAsia="zh-CN" w:bidi="ar-SA"/>
    </w:rPr>
  </w:style>
  <w:style w:type="character" w:customStyle="1" w:styleId="36">
    <w:name w:val="表格 字符"/>
    <w:basedOn w:val="22"/>
    <w:link w:val="35"/>
    <w:qFormat/>
    <w:uiPriority w:val="0"/>
    <w:rPr>
      <w:rFonts w:eastAsia="仿宋_GB2312"/>
      <w:szCs w:val="16"/>
      <w:lang w:val="zh-CN"/>
    </w:rPr>
  </w:style>
  <w:style w:type="paragraph" w:customStyle="1" w:styleId="37">
    <w:name w:val="表格备注"/>
    <w:link w:val="38"/>
    <w:qFormat/>
    <w:uiPriority w:val="0"/>
    <w:pPr>
      <w:ind w:firstLine="420"/>
    </w:pPr>
    <w:rPr>
      <w:rFonts w:ascii="楷体" w:hAnsi="楷体" w:eastAsia="楷体" w:cstheme="minorBidi"/>
      <w:kern w:val="2"/>
      <w:sz w:val="21"/>
      <w:szCs w:val="21"/>
      <w:lang w:val="zh-CN" w:eastAsia="zh-CN" w:bidi="ar-SA"/>
    </w:rPr>
  </w:style>
  <w:style w:type="character" w:customStyle="1" w:styleId="38">
    <w:name w:val="表格备注 字符"/>
    <w:basedOn w:val="22"/>
    <w:link w:val="37"/>
    <w:qFormat/>
    <w:uiPriority w:val="0"/>
    <w:rPr>
      <w:rFonts w:ascii="楷体" w:hAnsi="楷体" w:eastAsia="楷体"/>
      <w:szCs w:val="21"/>
      <w:lang w:val="zh-CN"/>
    </w:rPr>
  </w:style>
  <w:style w:type="character" w:customStyle="1" w:styleId="39">
    <w:name w:val="标题 2 字符"/>
    <w:basedOn w:val="22"/>
    <w:link w:val="3"/>
    <w:semiHidden/>
    <w:qFormat/>
    <w:uiPriority w:val="9"/>
    <w:rPr>
      <w:rFonts w:asciiTheme="majorHAnsi" w:hAnsiTheme="majorHAnsi" w:eastAsiaTheme="majorEastAsia" w:cstheme="majorBidi"/>
      <w:b/>
      <w:bCs/>
      <w:sz w:val="32"/>
      <w:szCs w:val="32"/>
    </w:rPr>
  </w:style>
  <w:style w:type="paragraph" w:customStyle="1" w:styleId="40">
    <w:name w:val="图片"/>
    <w:basedOn w:val="1"/>
    <w:link w:val="41"/>
    <w:qFormat/>
    <w:uiPriority w:val="0"/>
    <w:pPr>
      <w:ind w:firstLine="0" w:firstLineChars="0"/>
      <w:jc w:val="center"/>
    </w:pPr>
  </w:style>
  <w:style w:type="character" w:customStyle="1" w:styleId="41">
    <w:name w:val="图片 字符"/>
    <w:basedOn w:val="22"/>
    <w:link w:val="40"/>
    <w:qFormat/>
    <w:uiPriority w:val="0"/>
    <w:rPr>
      <w:rFonts w:eastAsia="仿宋_GB2312"/>
      <w:sz w:val="30"/>
    </w:rPr>
  </w:style>
  <w:style w:type="table" w:customStyle="1" w:styleId="42">
    <w:name w:val="网格型3"/>
    <w:basedOn w:val="20"/>
    <w:qFormat/>
    <w:uiPriority w:val="0"/>
    <w:rPr>
      <w:rFonts w:ascii="Calibri" w:hAnsi="Calibri" w:eastAsia="宋体" w:cs="Times New Roman"/>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FE0C6EBB-6ED4-4FCF-9094-F9ECA7AE3139}">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1166</Words>
  <Characters>6649</Characters>
  <Lines>55</Lines>
  <Paragraphs>15</Paragraphs>
  <TotalTime>12</TotalTime>
  <ScaleCrop>false</ScaleCrop>
  <LinksUpToDate>false</LinksUpToDate>
  <CharactersWithSpaces>7800</CharactersWithSpaces>
  <Application>WPS Office_12.8.2.1112_F1E327BC-269C-435d-A152-05C5408002CA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2024-07-19T07:53:00Z</dcterms:created>
  <dc:creator>佟鹏</dc:creator>
  <cp:lastModifiedBy>sugon</cp:lastModifiedBy>
  <dcterms:modified xsi:type="dcterms:W3CDTF">2024-07-25T15:39:16Z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2052-12.8.2.1112</vt:lpwstr>
  </property>
  <property fmtid="{D5CDD505-2E9C-101B-9397-08002B2CF9AE}" pid="3" name="ICV">
    <vt:lpwstr>814D0030460A0B91CACAA06623325D11_43</vt:lpwstr>
  </property>
</Properties>
</file>