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pPr>
    </w:p>
    <w:p>
      <w:pPr>
        <w:pStyle w:val="35"/>
        <w:jc w:val="center"/>
        <w:rPr>
          <w:rFonts w:hint="eastAsia" w:ascii="宋体" w:hAnsi="宋体" w:eastAsia="宋体"/>
          <w:szCs w:val="36"/>
        </w:rPr>
      </w:pPr>
    </w:p>
    <w:p>
      <w:pPr>
        <w:pStyle w:val="35"/>
        <w:jc w:val="center"/>
        <w:rPr>
          <w:rFonts w:hint="eastAsia" w:ascii="宋体" w:hAnsi="宋体" w:eastAsia="宋体"/>
          <w:b/>
          <w:szCs w:val="36"/>
        </w:rPr>
      </w:pPr>
    </w:p>
    <w:p>
      <w:pPr>
        <w:pStyle w:val="35"/>
        <w:jc w:val="center"/>
        <w:rPr>
          <w:rFonts w:hint="eastAsia" w:ascii="宋体" w:hAnsi="宋体" w:eastAsia="宋体"/>
          <w:b/>
          <w:szCs w:val="36"/>
        </w:rPr>
      </w:pPr>
    </w:p>
    <w:p>
      <w:pPr>
        <w:pStyle w:val="35"/>
        <w:jc w:val="center"/>
        <w:rPr>
          <w:rFonts w:hint="eastAsia" w:ascii="方正小标宋_GBK" w:hAnsi="黑体" w:eastAsia="方正小标宋_GBK"/>
          <w:bCs/>
          <w:sz w:val="52"/>
          <w:szCs w:val="52"/>
        </w:rPr>
      </w:pPr>
      <w:bookmarkStart w:id="4" w:name="_GoBack"/>
      <w:r>
        <w:rPr>
          <w:rFonts w:hint="eastAsia" w:ascii="方正小标宋_GBK" w:hAnsi="黑体" w:eastAsia="方正小标宋_GBK"/>
          <w:bCs/>
          <w:sz w:val="52"/>
          <w:szCs w:val="52"/>
        </w:rPr>
        <w:t>长治市上党区</w:t>
      </w:r>
      <w:r>
        <w:rPr>
          <w:rFonts w:hint="eastAsia" w:ascii="方正小标宋_GBK" w:hAnsi="黑体" w:eastAsia="方正小标宋_GBK"/>
          <w:bCs/>
          <w:sz w:val="52"/>
          <w:szCs w:val="52"/>
          <w:lang w:val="en-US" w:eastAsia="zh-CN"/>
        </w:rPr>
        <w:t>低碳建设</w:t>
      </w:r>
      <w:r>
        <w:rPr>
          <w:rFonts w:hint="eastAsia" w:ascii="方正小标宋_GBK" w:hAnsi="黑体" w:eastAsia="方正小标宋_GBK"/>
          <w:bCs/>
          <w:sz w:val="52"/>
          <w:szCs w:val="52"/>
        </w:rPr>
        <w:t>规划</w:t>
      </w:r>
    </w:p>
    <w:bookmarkEnd w:id="4"/>
    <w:p>
      <w:pPr>
        <w:pStyle w:val="35"/>
        <w:ind w:firstLine="520" w:firstLineChars="100"/>
        <w:jc w:val="center"/>
        <w:rPr>
          <w:rFonts w:hint="eastAsia" w:ascii="方正小标宋_GBK" w:hAnsi="黑体" w:eastAsia="方正小标宋_GBK"/>
          <w:bCs/>
          <w:sz w:val="52"/>
          <w:szCs w:val="52"/>
        </w:rPr>
      </w:pPr>
      <w:r>
        <w:rPr>
          <w:rFonts w:hint="eastAsia" w:ascii="方正小标宋_GBK" w:hAnsi="黑体" w:eastAsia="方正小标宋_GBK"/>
          <w:bCs/>
          <w:sz w:val="52"/>
          <w:szCs w:val="52"/>
        </w:rPr>
        <w:t>（202</w:t>
      </w:r>
      <w:r>
        <w:rPr>
          <w:rFonts w:hint="eastAsia" w:ascii="方正小标宋_GBK" w:hAnsi="黑体" w:eastAsia="方正小标宋_GBK"/>
          <w:bCs/>
          <w:sz w:val="52"/>
          <w:szCs w:val="52"/>
          <w:lang w:val="en-US" w:eastAsia="zh-CN"/>
        </w:rPr>
        <w:t>3</w:t>
      </w:r>
      <w:r>
        <w:rPr>
          <w:rFonts w:hint="eastAsia" w:ascii="方正小标宋_GBK" w:hAnsi="黑体" w:eastAsia="方正小标宋_GBK"/>
          <w:bCs/>
          <w:sz w:val="52"/>
          <w:szCs w:val="52"/>
        </w:rPr>
        <w:t>-2035年）</w:t>
      </w:r>
    </w:p>
    <w:p>
      <w:pPr>
        <w:pStyle w:val="35"/>
        <w:jc w:val="center"/>
        <w:rPr>
          <w:rFonts w:hint="eastAsia"/>
        </w:rPr>
      </w:pPr>
    </w:p>
    <w:p>
      <w:pPr>
        <w:pStyle w:val="35"/>
        <w:jc w:val="center"/>
        <w:rPr>
          <w:rFonts w:hint="eastAsia" w:ascii="方正小标宋_GBK" w:hAnsi="黑体" w:eastAsia="方正小标宋_GBK"/>
          <w:bCs/>
          <w:sz w:val="52"/>
          <w:szCs w:val="52"/>
        </w:rPr>
      </w:pPr>
    </w:p>
    <w:p>
      <w:pPr>
        <w:pStyle w:val="35"/>
        <w:jc w:val="center"/>
        <w:rPr>
          <w:rFonts w:hint="eastAsia" w:ascii="方正小标宋_GBK" w:hAnsi="黑体" w:eastAsia="方正小标宋_GBK"/>
          <w:bCs/>
          <w:sz w:val="52"/>
          <w:szCs w:val="52"/>
        </w:rPr>
      </w:pPr>
    </w:p>
    <w:p>
      <w:pPr>
        <w:pStyle w:val="35"/>
        <w:jc w:val="center"/>
        <w:rPr>
          <w:rFonts w:ascii="方正小标宋_GBK" w:hAnsi="Times New Roman" w:eastAsia="方正小标宋_GBK"/>
          <w:bCs/>
          <w:sz w:val="48"/>
          <w:szCs w:val="48"/>
        </w:rPr>
      </w:pPr>
      <w:r>
        <w:rPr>
          <w:rFonts w:hint="eastAsia" w:ascii="方正小标宋_GBK" w:hAnsi="Times New Roman" w:eastAsia="方正小标宋_GBK"/>
          <w:bCs/>
          <w:sz w:val="48"/>
          <w:szCs w:val="48"/>
        </w:rPr>
        <w:t>公示稿</w:t>
      </w: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 w:val="48"/>
          <w:szCs w:val="48"/>
        </w:rPr>
      </w:pPr>
    </w:p>
    <w:p>
      <w:pPr>
        <w:pStyle w:val="35"/>
        <w:jc w:val="center"/>
        <w:rPr>
          <w:rFonts w:ascii="方正小标宋_GBK" w:hAnsi="Times New Roman" w:eastAsia="方正小标宋_GBK"/>
          <w:bCs/>
          <w:szCs w:val="36"/>
        </w:rPr>
      </w:pPr>
      <w:r>
        <w:rPr>
          <w:rFonts w:hint="eastAsia" w:ascii="方正小标宋_GBK" w:hAnsi="Times New Roman" w:eastAsia="方正小标宋_GBK"/>
          <w:bCs/>
          <w:szCs w:val="36"/>
        </w:rPr>
        <w:t>长治市上党区住房和城乡建设局</w:t>
      </w:r>
    </w:p>
    <w:p>
      <w:pPr>
        <w:pStyle w:val="35"/>
        <w:ind w:firstLine="2880" w:firstLineChars="800"/>
        <w:jc w:val="both"/>
        <w:rPr>
          <w:rFonts w:ascii="方正小标宋_GBK" w:hAnsi="Times New Roman" w:eastAsia="方正小标宋_GBK"/>
          <w:bCs/>
          <w:szCs w:val="36"/>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r>
        <w:rPr>
          <w:rFonts w:hint="eastAsia" w:ascii="方正小标宋_GBK" w:hAnsi="Times New Roman" w:eastAsia="方正小标宋_GBK"/>
          <w:bCs/>
          <w:szCs w:val="36"/>
        </w:rPr>
        <w:t>2024年7月</w:t>
      </w:r>
    </w:p>
    <w:p>
      <w:pPr>
        <w:ind w:left="0" w:leftChars="0" w:firstLine="600" w:firstLineChars="200"/>
        <w:rPr>
          <w:rFonts w:hint="eastAsia" w:ascii="黑体" w:hAnsi="黑体" w:eastAsia="黑体" w:cs="黑体"/>
          <w:b w:val="0"/>
          <w:bCs w:val="0"/>
          <w:lang w:val="en-US" w:eastAsia="zh-CN"/>
        </w:rPr>
      </w:pPr>
      <w:r>
        <w:rPr>
          <w:rFonts w:hint="eastAsia" w:ascii="黑体" w:hAnsi="黑体" w:eastAsia="黑体" w:cs="黑体"/>
          <w:b w:val="0"/>
          <w:bCs w:val="0"/>
          <w:lang w:val="en-US" w:eastAsia="zh-CN"/>
        </w:rPr>
        <w:t>一、编制背景</w:t>
      </w: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在全球气候变化的大背景下，低碳建设已成为城市可持续发展的重要途径。长治市上党区积极响应国家“碳达峰、碳中和”战略目标，致力于构建绿色低碳城市，推动经济社会系统性变革。</w:t>
      </w:r>
      <w:r>
        <w:rPr>
          <w:rFonts w:hint="eastAsia" w:ascii="仿宋_GB2312" w:hAnsi="仿宋_GB2312" w:eastAsia="仿宋_GB2312" w:cs="仿宋_GB2312"/>
          <w:sz w:val="32"/>
          <w:szCs w:val="32"/>
          <w:lang w:val="en-US" w:eastAsia="zh-CN"/>
        </w:rPr>
        <w:t>在此背景下，编制本次《长治市上党区低碳建设规划》（2023-2035）。</w:t>
      </w:r>
    </w:p>
    <w:p>
      <w:p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二、规划范围和期限</w:t>
      </w: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规划水平年为2023年，规划近远期年限与《上党区国土空间总体规划（2021-2035年）》一致，规划近期至2025年，规划远期至2035年，规划远景展望至2050年。</w:t>
      </w:r>
    </w:p>
    <w:p>
      <w:p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规划范围为上党区中心城区重点区，研究范围为城镇开发边界。</w:t>
      </w:r>
    </w:p>
    <w:p>
      <w:p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三、规划任务和总体目标</w:t>
      </w:r>
    </w:p>
    <w:p>
      <w:pPr>
        <w:pStyle w:val="42"/>
        <w:keepNext/>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综合考量能源结构优化、绿色交通系统构建、建筑能效提升、市政设施绿色化、产业结构调整以及居民生活方式绿色化等多方面因素，制定出一套科学、系统的规划方案，以实现城市碳排放的持续降低，推动经济、社会、环境的协调可持续发展，并最终达成碳达峰和碳中和的国家战略目标。</w:t>
      </w:r>
    </w:p>
    <w:p>
      <w:pPr>
        <w:pStyle w:val="42"/>
        <w:keepNext/>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上位要求、相关城市案例（太原市）、上党区现状情况，确定本次规划指标体系，包括13个指标。其中，规划碳排放总量较2020年下降18%以上，单位GDP碳排放较2020年下降18%以上，非化石能源占比达到20%以上，新建建筑全面执行绿色建筑标准，绿色出行比例达到70%以上，新能源公共交通车辆比例达到100%。</w:t>
      </w:r>
    </w:p>
    <w:p>
      <w:pPr>
        <w:ind w:left="0" w:leftChars="0" w:firstLine="640" w:firstLineChars="200"/>
        <w:rPr>
          <w:rFonts w:hint="eastAsia" w:ascii="黑体" w:hAnsi="黑体" w:eastAsia="黑体" w:cs="黑体"/>
          <w:b w:val="0"/>
          <w:bCs w:val="0"/>
          <w:sz w:val="32"/>
          <w:szCs w:val="32"/>
          <w:lang w:val="en-US" w:eastAsia="zh-CN"/>
        </w:rPr>
      </w:pPr>
      <w:bookmarkStart w:id="0" w:name="_Toc12077"/>
      <w:r>
        <w:rPr>
          <w:rFonts w:hint="eastAsia" w:ascii="黑体" w:hAnsi="黑体" w:eastAsia="黑体" w:cs="黑体"/>
          <w:b w:val="0"/>
          <w:bCs w:val="0"/>
          <w:sz w:val="32"/>
          <w:szCs w:val="32"/>
          <w:lang w:val="en-US" w:eastAsia="zh-CN"/>
        </w:rPr>
        <w:t>四、低碳能源系统建设</w:t>
      </w:r>
      <w:bookmarkEnd w:id="0"/>
      <w:r>
        <w:rPr>
          <w:rFonts w:hint="default" w:ascii="黑体" w:hAnsi="黑体" w:eastAsia="黑体" w:cs="黑体"/>
          <w:b w:val="0"/>
          <w:bCs w:val="0"/>
          <w:sz w:val="32"/>
          <w:szCs w:val="32"/>
          <w:lang w:val="en-US" w:eastAsia="zh-CN"/>
        </w:rPr>
        <w:tab/>
      </w:r>
    </w:p>
    <w:p>
      <w:pPr>
        <w:spacing w:before="120" w:after="120"/>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非化石能源占比达到20%以上，降低能源消耗，建设高效适宜的分布式能源系统。鼓励结合能源负荷核心区设置分布式能源中心，探索绿色低碳清洁能源微网系统， 促进分布式能源的最大化利用和多元化供能，保障供能安全与供能效率，减少能源输送损耗，进一步降低能源输送与分配阶段的碳排放。</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行光伏发电利用。结合项目屋顶和垂直立面的资源条件，积极推动屋顶光伏电站的规模化应用，新建国家机关办公、学校、医院、工业厂房等建筑屋顶安装光伏发电比例不低于50%，新建商业、商务办公建筑屋顶安装光伏发电比例不低于30%，新建住宅屋顶安装光伏发电比例不低于20%，鼓励推广光伏建筑一体化应用。</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推进浅层地热利用。规划范围内的部分商务商业中心及工业园区利用浅层地热能进行供暖与制冷。选用高能效地源热泵机组， 且地源热泵系统制热性能系数不低于3.5，地源热泵系 统制冷能效比不低于3.9。</w:t>
      </w:r>
    </w:p>
    <w:p>
      <w:pPr>
        <w:ind w:left="0" w:leftChars="0" w:firstLine="640" w:firstLineChars="200"/>
        <w:rPr>
          <w:rFonts w:hint="eastAsia" w:ascii="黑体" w:hAnsi="黑体" w:eastAsia="黑体" w:cs="黑体"/>
          <w:b w:val="0"/>
          <w:bCs w:val="0"/>
          <w:sz w:val="32"/>
          <w:szCs w:val="32"/>
          <w:lang w:val="en-US" w:eastAsia="zh-CN"/>
        </w:rPr>
      </w:pPr>
      <w:bookmarkStart w:id="1" w:name="_Toc15917"/>
      <w:r>
        <w:rPr>
          <w:rFonts w:hint="eastAsia" w:ascii="黑体" w:hAnsi="黑体" w:eastAsia="黑体" w:cs="黑体"/>
          <w:b w:val="0"/>
          <w:bCs w:val="0"/>
          <w:sz w:val="32"/>
          <w:szCs w:val="32"/>
          <w:lang w:val="en-US" w:eastAsia="zh-CN"/>
        </w:rPr>
        <w:t>五、低碳交通系统建设</w:t>
      </w:r>
      <w:bookmarkEnd w:id="1"/>
    </w:p>
    <w:p>
      <w:pPr>
        <w:pStyle w:val="42"/>
        <w:keepNext/>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推进公交基础设施建设，确保公交优先发展。落实公交场站设施用地，加快交通枢纽、中心站、首末站与保养场建设，打造以上党高铁站、城区客运站为主体的枢纽体系，实现客流的快速集散与转换。提升公共交通接驳换乘环境。保障交通枢纽、交通站点与中低运量车站的接驳换乘设施供给，实现同步规划、设计、建设与投入使用，优化接驳换乘条件和服务水平。公交车辆万人拥有率2025年达到14标台，2030年达到16标台。规划公交站74处，覆盖中心城区。</w:t>
      </w:r>
    </w:p>
    <w:p>
      <w:pPr>
        <w:pStyle w:val="42"/>
        <w:keepNext/>
        <w:ind w:firstLine="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连续安全的步行和自行车网络体系，提升整体慢行空间环境。优化完善道路人行设施，积极鼓励、引导、规范共享自行车健康有序发展，创造安全、清洁、舒适、人性化的交通空间，构建友好出行城区。骑行网络系统，串联城市规划主、次中心和重要的城市目的地。自行车一级廊道结合现有/规划的自行车客流主通道，以交通功能为主道路以主干路、重要次干路为主，断面有条件，连通性较好串联城市规划主、次中心和重要的城市目的地，构建“六横四纵”廊道网。自行车一级廊道总长35km。自行车二级廊道结合现有规划的自行车客流次通道，以生活+交通功能为主可形成单独通行空间的为独立廊道。</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结合停车场规划，配建充电设施。</w:t>
      </w:r>
      <w:r>
        <w:rPr>
          <w:rFonts w:hint="eastAsia" w:ascii="仿宋_GB2312" w:hAnsi="仿宋_GB2312" w:eastAsia="仿宋_GB2312" w:cs="仿宋_GB2312"/>
          <w:sz w:val="32"/>
          <w:szCs w:val="32"/>
        </w:rPr>
        <w:t>中心城区规划37处停车场，其中6座配建电动车充电桩，占比16.2%；另新建电动车充电桩4处，充电设施共计10处。</w:t>
      </w:r>
    </w:p>
    <w:p>
      <w:pPr>
        <w:spacing w:before="120" w:after="120"/>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599815" cy="3362325"/>
            <wp:effectExtent l="0" t="0" r="635" b="952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1"/>
                    <a:stretch>
                      <a:fillRect/>
                    </a:stretch>
                  </pic:blipFill>
                  <pic:spPr>
                    <a:xfrm>
                      <a:off x="0" y="0"/>
                      <a:ext cx="3599815" cy="3362325"/>
                    </a:xfrm>
                    <a:prstGeom prst="rect">
                      <a:avLst/>
                    </a:prstGeom>
                    <a:noFill/>
                    <a:ln>
                      <a:noFill/>
                    </a:ln>
                  </pic:spPr>
                </pic:pic>
              </a:graphicData>
            </a:graphic>
          </wp:inline>
        </w:drawing>
      </w:r>
    </w:p>
    <w:p>
      <w:pPr>
        <w:pStyle w:val="6"/>
        <w:ind w:left="0" w:lef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SEQ 图_ \* ARABIC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停车场、充电桩布局规划图</w:t>
      </w:r>
    </w:p>
    <w:p>
      <w:p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六、绿色建筑系统建设</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既有建筑节能改造方面，既有建筑90%进行节能改造。结合小区公共环境整治、老旧小区改造等工作，统筹推进节能改造，实现整体效果的提升。</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绿色建筑方面，结合商业服务区及综合服务区的布局，针对新建建筑，推进绿色建筑建设，尤其是推进三星级绿色建筑的建设。</w:t>
      </w:r>
    </w:p>
    <w:p>
      <w:pPr>
        <w:spacing w:before="120" w:after="120"/>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零碳建筑方面，规划在高铁科创文化片区新建近零能耗建筑/零碳建筑项目 1 项。适应气候特征与场地条件，在满足室内环境参数的基础上，通过优化建筑设计降低建筑用能需求，提高能源设备与系统效率，充分利用可再生能源和建筑蓄能，在实现近零碳建筑基础上，可结合碳排放权交易和绿色电力交易等碳抵消方式。</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在装配式建筑方面，</w:t>
      </w:r>
      <w:r>
        <w:rPr>
          <w:rFonts w:hint="eastAsia" w:ascii="仿宋_GB2312" w:hAnsi="仿宋_GB2312" w:eastAsia="仿宋_GB2312" w:cs="仿宋_GB2312"/>
          <w:sz w:val="32"/>
          <w:szCs w:val="32"/>
        </w:rPr>
        <w:t>将全面稳步推进装配式建造方式在工程中应用，装配式建造方式成为主要建造方式，建筑品质全面提升，节能减排、绿色发展成效明显，创新能力大幅提升，形成以一批优势企业为核心的产业集群。装配式建筑占新建建筑的比例达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%，并探索A级装配式建筑的市场应用。桥梁、铁路、道路、综合管廊、隧道、市政工程等建设中，除必须现浇的部分外全部采用预制装配式。</w:t>
      </w:r>
    </w:p>
    <w:p>
      <w:pPr>
        <w:numPr>
          <w:ilvl w:val="0"/>
          <w:numId w:val="2"/>
        </w:numPr>
        <w:ind w:left="0" w:leftChars="0" w:firstLine="640" w:firstLineChars="200"/>
        <w:rPr>
          <w:rFonts w:hint="eastAsia" w:ascii="黑体" w:hAnsi="黑体" w:eastAsia="黑体" w:cs="黑体"/>
          <w:b w:val="0"/>
          <w:bCs w:val="0"/>
          <w:sz w:val="32"/>
          <w:szCs w:val="32"/>
          <w:lang w:val="en-US" w:eastAsia="zh-CN"/>
        </w:rPr>
      </w:pPr>
      <w:bookmarkStart w:id="2" w:name="_Toc30588"/>
      <w:r>
        <w:rPr>
          <w:rFonts w:hint="eastAsia" w:ascii="黑体" w:hAnsi="黑体" w:eastAsia="黑体" w:cs="黑体"/>
          <w:b w:val="0"/>
          <w:bCs w:val="0"/>
          <w:sz w:val="32"/>
          <w:szCs w:val="32"/>
          <w:lang w:val="en-US" w:eastAsia="zh-CN"/>
        </w:rPr>
        <w:t>绿色市政系统建设</w:t>
      </w:r>
      <w:bookmarkEnd w:id="2"/>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再生水利用系统。到2035年，考虑污水管网收集条件以及污水处理厂处理条件等，规划城区再生水可利用量可达477万立方米。远期3座污水处理厂污水处理规模合计达到6万立方米/日，污水处理范围包括城区、苏店镇和物流园区、荫城镇及周边村庄污水，考虑污水处理厂运行负荷及再生水产水系数，预计3座污水处理厂处理后年再生水产量可达1095万立方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垃圾收集处理系统。加强垃圾分类处理。合理布局生活垃圾分类收集点，建设分类运输体系，加快补齐分类收集转运设施能力，持续完善生活垃圾分类收运处理系统。完善垃圾处理设施。保留现状垃圾处理场，远期在城区东部新建综合垃圾处理场。建设垃圾焚烧发电设施；产生电能、热能供给城区使用，进行燃煤替代。</w:t>
      </w:r>
    </w:p>
    <w:p>
      <w:pPr>
        <w:spacing w:before="120" w:after="120"/>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331210" cy="3025775"/>
            <wp:effectExtent l="0" t="0" r="2540" b="3175"/>
            <wp:docPr id="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pic:cNvPicPr>
                      <a:picLocks noChangeAspect="1"/>
                    </pic:cNvPicPr>
                  </pic:nvPicPr>
                  <pic:blipFill>
                    <a:blip r:embed="rId12"/>
                    <a:srcRect t="8710"/>
                    <a:stretch>
                      <a:fillRect/>
                    </a:stretch>
                  </pic:blipFill>
                  <pic:spPr>
                    <a:xfrm>
                      <a:off x="0" y="0"/>
                      <a:ext cx="3488883" cy="3169290"/>
                    </a:xfrm>
                    <a:prstGeom prst="rect">
                      <a:avLst/>
                    </a:prstGeom>
                    <a:noFill/>
                    <a:ln>
                      <a:noFill/>
                    </a:ln>
                  </pic:spPr>
                </pic:pic>
              </a:graphicData>
            </a:graphic>
          </wp:inline>
        </w:drawing>
      </w:r>
    </w:p>
    <w:p>
      <w:pPr>
        <w:pStyle w:val="44"/>
        <w:spacing w:after="1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SEQ 图_ \* ARABIC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 xml:space="preserve">  再生水系统规划图</w:t>
      </w:r>
    </w:p>
    <w:p>
      <w:pPr>
        <w:ind w:left="0" w:leftChars="0" w:firstLine="640" w:firstLineChars="200"/>
        <w:rPr>
          <w:rFonts w:hint="eastAsia" w:ascii="黑体" w:hAnsi="黑体" w:eastAsia="黑体" w:cs="黑体"/>
          <w:b w:val="0"/>
          <w:bCs w:val="0"/>
          <w:sz w:val="32"/>
          <w:szCs w:val="32"/>
          <w:lang w:val="en-US" w:eastAsia="zh-CN"/>
        </w:rPr>
      </w:pPr>
      <w:bookmarkStart w:id="3" w:name="_Toc5284"/>
      <w:r>
        <w:rPr>
          <w:rFonts w:hint="eastAsia" w:ascii="黑体" w:hAnsi="黑体" w:eastAsia="黑体" w:cs="黑体"/>
          <w:b w:val="0"/>
          <w:bCs w:val="0"/>
          <w:sz w:val="32"/>
          <w:szCs w:val="32"/>
          <w:lang w:val="en-US" w:eastAsia="zh-CN"/>
        </w:rPr>
        <w:t>八、绿色产业系统建设</w:t>
      </w:r>
      <w:bookmarkEnd w:id="3"/>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围绕绿色低碳、数字装备、中医药、新能源汽车，光伏组件、资源循环利用六大产业链布局创新链。</w:t>
      </w:r>
    </w:p>
    <w:p>
      <w:pPr>
        <w:pStyle w:val="42"/>
        <w:keepNext/>
        <w:ind w:firstLine="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生产方式绿色化，构建绿色产业体系。推进绿色企业建设，促进全绿能企业（100%使用非化石能源）、碳中和企业的建设。促进全绿能企业的建设，100%使用非化石能源，如太阳能、风能、水能等可再生能源，从而减少温室气体排放，推动能源结构的清洁转型。同时，碳中和企业的建设则侧重于通过购买碳排放配额、实施碳捕集和存储技术、开展植树造林等活动，抵消企业产生的碳排放，实现企业运营的碳平衡。</w:t>
      </w:r>
    </w:p>
    <w:p>
      <w:p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九、城市建设引导</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控制建设密度和强度。建设应疏密有度、错落有致、合理布局，既要防止盲目进行高密度高强度开发，又要防止摊大饼式无序蔓延。建成区人口密度应控制在每平方公里0.6万至1万人，建成区的建筑总面积与建设用地面积的比值应控制在0.6至0.8。</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制民用建筑高度。民用建筑高度要与消防救援能力相匹配。新建住宅以6层为主，6层及以下住宅建筑面积占比应不低于70%。鼓励新建多层住宅安装电梯。城区新建住宅最高不超过18层。确需建设18层以上居住建筑的，应严格充分论证，并确保消防应急、市政配套设施等建设到位。加强50米以上公共建筑消防安全管理。建筑物的耐火等级、防火间距、平面设计等要符合消防技术标准强制性要求。</w:t>
      </w:r>
    </w:p>
    <w:p>
      <w:p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十、实施保障</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健全工作体系：建立统一领导和多部门协作机制，组建碳达峰碳中和工作领导小组，加强城市规划、建设、管理的组织指导。</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强化督导落实：树立行动和结果导向，加大工作执行力度，及时发现并解决问题，确保各项任务按时完成。</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政策支持：利用法规、行政、财税等手段支持绿色低碳发展，统筹资金支持重点项目，鼓励金融创新，发展绿色金融市场。</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建立奖励与监督机制：负责部门全程监督管理，制定奖惩措施，加强能耗和工作量统计的动态监测，设立奖励基金，激励项目实施。</w:t>
      </w:r>
    </w:p>
    <w:p>
      <w:pPr>
        <w:spacing w:before="120" w:after="120"/>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科技创新：实施基础研究和研发计划，推动科技成果转化，支持绿色低碳技术发展，培育科技型中小企业。</w:t>
      </w:r>
    </w:p>
    <w:p>
      <w:pPr>
        <w:spacing w:before="120" w:after="120"/>
        <w:ind w:firstLine="480"/>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lang w:val="en-US" w:eastAsia="zh-CN"/>
        </w:rPr>
        <w:t>全民参与：加强宣传培训，倡导绿色生活方式，推进节能减排和垃圾分类，创建近零碳社区，营造绿色低碳生活氛围。</w:t>
      </w:r>
    </w:p>
    <w:p>
      <w:pPr>
        <w:pStyle w:val="42"/>
        <w:keepNext/>
        <w:ind w:firstLine="600"/>
        <w:jc w:val="both"/>
        <w:rPr>
          <w:rFonts w:hint="eastAsia" w:ascii="仿宋_GB2312" w:hAnsi="仿宋_GB2312" w:eastAsia="仿宋_GB2312" w:cs="仿宋_GB2312"/>
          <w:sz w:val="32"/>
          <w:szCs w:val="32"/>
        </w:rPr>
      </w:pPr>
    </w:p>
    <w:p>
      <w:pPr>
        <w:pStyle w:val="42"/>
        <w:keepNext/>
        <w:ind w:firstLine="600"/>
        <w:jc w:val="both"/>
        <w:rPr>
          <w:rFonts w:hint="eastAsia"/>
        </w:rPr>
      </w:pPr>
    </w:p>
    <w:p>
      <w:pPr>
        <w:pStyle w:val="42"/>
        <w:keepNext/>
        <w:ind w:firstLine="600"/>
        <w:jc w:val="both"/>
        <w:rPr>
          <w:rFonts w:hint="eastAsia"/>
        </w:rPr>
      </w:pPr>
    </w:p>
    <w:p>
      <w:pPr>
        <w:pStyle w:val="42"/>
        <w:keepNext/>
        <w:ind w:firstLine="600"/>
        <w:jc w:val="both"/>
        <w:rPr>
          <w:rFonts w:hint="eastAsia"/>
        </w:rPr>
      </w:pPr>
    </w:p>
    <w:p>
      <w:pPr>
        <w:pStyle w:val="42"/>
        <w:keepNext/>
        <w:ind w:firstLine="600"/>
        <w:jc w:val="both"/>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EU-B1"/>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EU-B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DCC84"/>
    <w:multiLevelType w:val="singleLevel"/>
    <w:tmpl w:val="BFDDCC84"/>
    <w:lvl w:ilvl="0" w:tentative="0">
      <w:start w:val="7"/>
      <w:numFmt w:val="chineseCounting"/>
      <w:suff w:val="nothing"/>
      <w:lvlText w:val="%1、"/>
      <w:lvlJc w:val="left"/>
      <w:rPr>
        <w:rFonts w:hint="eastAsia"/>
      </w:rPr>
    </w:lvl>
  </w:abstractNum>
  <w:abstractNum w:abstractNumId="1">
    <w:nsid w:val="2F906A8D"/>
    <w:multiLevelType w:val="multilevel"/>
    <w:tmpl w:val="2F906A8D"/>
    <w:lvl w:ilvl="0" w:tentative="0">
      <w:start w:val="1"/>
      <w:numFmt w:val="decimal"/>
      <w:pStyle w:val="4"/>
      <w:lvlText w:val="第%1条"/>
      <w:lvlJc w:val="left"/>
      <w:pPr>
        <w:ind w:left="1155" w:hanging="735"/>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MzQ2MTk4MTE1NDI5OGMyNzZkYWFhMjZlN2ZiNzUifQ=="/>
  </w:docVars>
  <w:rsids>
    <w:rsidRoot w:val="00DE406D"/>
    <w:rsid w:val="000742DB"/>
    <w:rsid w:val="000C1A64"/>
    <w:rsid w:val="001003C8"/>
    <w:rsid w:val="001800AA"/>
    <w:rsid w:val="001A12E1"/>
    <w:rsid w:val="002415AC"/>
    <w:rsid w:val="00277B96"/>
    <w:rsid w:val="00283B4A"/>
    <w:rsid w:val="003604E4"/>
    <w:rsid w:val="004517E9"/>
    <w:rsid w:val="004D5F40"/>
    <w:rsid w:val="005714C6"/>
    <w:rsid w:val="00592149"/>
    <w:rsid w:val="005C2E44"/>
    <w:rsid w:val="00627E79"/>
    <w:rsid w:val="0065730B"/>
    <w:rsid w:val="007055DF"/>
    <w:rsid w:val="00785D94"/>
    <w:rsid w:val="0084122F"/>
    <w:rsid w:val="008C2895"/>
    <w:rsid w:val="009E17F1"/>
    <w:rsid w:val="00A46AE4"/>
    <w:rsid w:val="00AD69ED"/>
    <w:rsid w:val="00CD1DDF"/>
    <w:rsid w:val="00CD77C5"/>
    <w:rsid w:val="00D17A3B"/>
    <w:rsid w:val="00D91393"/>
    <w:rsid w:val="00DE406D"/>
    <w:rsid w:val="00E0416F"/>
    <w:rsid w:val="00E159C9"/>
    <w:rsid w:val="00E51488"/>
    <w:rsid w:val="00EB047F"/>
    <w:rsid w:val="00EE788B"/>
    <w:rsid w:val="00EF7335"/>
    <w:rsid w:val="00F80283"/>
    <w:rsid w:val="00FB2A59"/>
    <w:rsid w:val="00FD20A0"/>
    <w:rsid w:val="018D0F17"/>
    <w:rsid w:val="03800D34"/>
    <w:rsid w:val="04B862AB"/>
    <w:rsid w:val="04C9670A"/>
    <w:rsid w:val="05DE61E6"/>
    <w:rsid w:val="05E530D0"/>
    <w:rsid w:val="05F257ED"/>
    <w:rsid w:val="07D57174"/>
    <w:rsid w:val="07FB6BDB"/>
    <w:rsid w:val="08B03E69"/>
    <w:rsid w:val="09475E50"/>
    <w:rsid w:val="09EA50CF"/>
    <w:rsid w:val="0A4C1970"/>
    <w:rsid w:val="0AFD0EBC"/>
    <w:rsid w:val="0B884C29"/>
    <w:rsid w:val="0C945850"/>
    <w:rsid w:val="12F42BA4"/>
    <w:rsid w:val="13743CE5"/>
    <w:rsid w:val="140908D1"/>
    <w:rsid w:val="146B50E8"/>
    <w:rsid w:val="14CB5B87"/>
    <w:rsid w:val="14D52C06"/>
    <w:rsid w:val="150B73C1"/>
    <w:rsid w:val="16677B31"/>
    <w:rsid w:val="167A7865"/>
    <w:rsid w:val="16BF796D"/>
    <w:rsid w:val="181635BD"/>
    <w:rsid w:val="185F6D12"/>
    <w:rsid w:val="196640D0"/>
    <w:rsid w:val="1A5F124B"/>
    <w:rsid w:val="1A8C5DB8"/>
    <w:rsid w:val="1AE23C2A"/>
    <w:rsid w:val="1B8076CB"/>
    <w:rsid w:val="1C6F14EE"/>
    <w:rsid w:val="1CF163A7"/>
    <w:rsid w:val="1D6B7F07"/>
    <w:rsid w:val="1DD43CFE"/>
    <w:rsid w:val="1F59095F"/>
    <w:rsid w:val="206A094A"/>
    <w:rsid w:val="20A35C0A"/>
    <w:rsid w:val="210C7C53"/>
    <w:rsid w:val="213B4094"/>
    <w:rsid w:val="240370EB"/>
    <w:rsid w:val="2492046F"/>
    <w:rsid w:val="24975A86"/>
    <w:rsid w:val="24AD7057"/>
    <w:rsid w:val="25E92311"/>
    <w:rsid w:val="26F176CF"/>
    <w:rsid w:val="27AF38A8"/>
    <w:rsid w:val="27D668C5"/>
    <w:rsid w:val="298A5BB9"/>
    <w:rsid w:val="29910CF5"/>
    <w:rsid w:val="2BD650E5"/>
    <w:rsid w:val="2E76495E"/>
    <w:rsid w:val="2F4D56BE"/>
    <w:rsid w:val="302D7E8F"/>
    <w:rsid w:val="30E52BF7"/>
    <w:rsid w:val="32222E32"/>
    <w:rsid w:val="32F10A57"/>
    <w:rsid w:val="35973B37"/>
    <w:rsid w:val="360A60B7"/>
    <w:rsid w:val="37953B5B"/>
    <w:rsid w:val="379A16BD"/>
    <w:rsid w:val="382471D8"/>
    <w:rsid w:val="38434D5F"/>
    <w:rsid w:val="38563836"/>
    <w:rsid w:val="395D29A2"/>
    <w:rsid w:val="3A451DB4"/>
    <w:rsid w:val="3A5A447A"/>
    <w:rsid w:val="3AE0388B"/>
    <w:rsid w:val="3AE74C19"/>
    <w:rsid w:val="3E0930F8"/>
    <w:rsid w:val="3EB5502E"/>
    <w:rsid w:val="3EF23B8C"/>
    <w:rsid w:val="3F3C12AC"/>
    <w:rsid w:val="3F7B1DD4"/>
    <w:rsid w:val="3FDB0AC5"/>
    <w:rsid w:val="446A2417"/>
    <w:rsid w:val="452151CC"/>
    <w:rsid w:val="45701CAF"/>
    <w:rsid w:val="45CD0EAF"/>
    <w:rsid w:val="46141AA7"/>
    <w:rsid w:val="47F170D7"/>
    <w:rsid w:val="48653621"/>
    <w:rsid w:val="49261002"/>
    <w:rsid w:val="49DD1DC9"/>
    <w:rsid w:val="49E14F29"/>
    <w:rsid w:val="4A192915"/>
    <w:rsid w:val="4A630034"/>
    <w:rsid w:val="4B673E2B"/>
    <w:rsid w:val="4BBC5C4E"/>
    <w:rsid w:val="4CF136D5"/>
    <w:rsid w:val="4D245859"/>
    <w:rsid w:val="4DBE2341"/>
    <w:rsid w:val="4F895E47"/>
    <w:rsid w:val="4FE63299"/>
    <w:rsid w:val="508235A6"/>
    <w:rsid w:val="50F6575E"/>
    <w:rsid w:val="51654692"/>
    <w:rsid w:val="526B5CD8"/>
    <w:rsid w:val="529A65BD"/>
    <w:rsid w:val="54244390"/>
    <w:rsid w:val="55313209"/>
    <w:rsid w:val="55713605"/>
    <w:rsid w:val="56582839"/>
    <w:rsid w:val="5765719A"/>
    <w:rsid w:val="57805D82"/>
    <w:rsid w:val="579E26AC"/>
    <w:rsid w:val="57A06424"/>
    <w:rsid w:val="58B33F35"/>
    <w:rsid w:val="58EE31BF"/>
    <w:rsid w:val="58F24A5D"/>
    <w:rsid w:val="58FE1654"/>
    <w:rsid w:val="59345076"/>
    <w:rsid w:val="59F842F5"/>
    <w:rsid w:val="5A1924BD"/>
    <w:rsid w:val="5A963B0E"/>
    <w:rsid w:val="5AA63D51"/>
    <w:rsid w:val="5AD16850"/>
    <w:rsid w:val="5AEE74A6"/>
    <w:rsid w:val="5BD13050"/>
    <w:rsid w:val="5BFB631F"/>
    <w:rsid w:val="5CF76BF6"/>
    <w:rsid w:val="5E6F4DA2"/>
    <w:rsid w:val="5F9525E6"/>
    <w:rsid w:val="613A3445"/>
    <w:rsid w:val="61446072"/>
    <w:rsid w:val="627209BD"/>
    <w:rsid w:val="62B64D4D"/>
    <w:rsid w:val="62DD052C"/>
    <w:rsid w:val="64520AA6"/>
    <w:rsid w:val="6541323C"/>
    <w:rsid w:val="65491EA9"/>
    <w:rsid w:val="6659611C"/>
    <w:rsid w:val="66644AC0"/>
    <w:rsid w:val="66CA3897"/>
    <w:rsid w:val="68152516"/>
    <w:rsid w:val="69825989"/>
    <w:rsid w:val="69BD4C13"/>
    <w:rsid w:val="69CC4E56"/>
    <w:rsid w:val="6AC63F9C"/>
    <w:rsid w:val="6CCF5389"/>
    <w:rsid w:val="6D493175"/>
    <w:rsid w:val="716B31A7"/>
    <w:rsid w:val="71C32FE3"/>
    <w:rsid w:val="72FA2A34"/>
    <w:rsid w:val="72FB055A"/>
    <w:rsid w:val="74DB0643"/>
    <w:rsid w:val="760F67F7"/>
    <w:rsid w:val="76EE465E"/>
    <w:rsid w:val="76FA3416"/>
    <w:rsid w:val="77075720"/>
    <w:rsid w:val="774249AA"/>
    <w:rsid w:val="77DEA504"/>
    <w:rsid w:val="782F4F2E"/>
    <w:rsid w:val="7899684C"/>
    <w:rsid w:val="797D7F1B"/>
    <w:rsid w:val="7B05641A"/>
    <w:rsid w:val="7B18614D"/>
    <w:rsid w:val="7B430CF1"/>
    <w:rsid w:val="7C9E08D4"/>
    <w:rsid w:val="7CD30B53"/>
    <w:rsid w:val="7D7F24B4"/>
    <w:rsid w:val="7DDFE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0"/>
      <w:szCs w:val="22"/>
      <w:lang w:val="en-US" w:eastAsia="zh-CN" w:bidi="ar-SA"/>
    </w:rPr>
  </w:style>
  <w:style w:type="paragraph" w:styleId="2">
    <w:name w:val="heading 1"/>
    <w:next w:val="1"/>
    <w:link w:val="27"/>
    <w:qFormat/>
    <w:uiPriority w:val="0"/>
    <w:pPr>
      <w:keepNext/>
      <w:keepLines/>
      <w:spacing w:before="340" w:after="330" w:line="578" w:lineRule="auto"/>
      <w:jc w:val="center"/>
      <w:outlineLvl w:val="0"/>
    </w:pPr>
    <w:rPr>
      <w:rFonts w:eastAsia="方正小标宋_GBK" w:asciiTheme="minorHAnsi" w:hAnsiTheme="minorHAnsi" w:cstheme="minorBidi"/>
      <w:bCs/>
      <w:kern w:val="44"/>
      <w:sz w:val="36"/>
      <w:szCs w:val="44"/>
      <w:lang w:val="zh-CN" w:eastAsia="zh-CN" w:bidi="ar-SA"/>
    </w:rPr>
  </w:style>
  <w:style w:type="paragraph" w:styleId="3">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next w:val="1"/>
    <w:link w:val="28"/>
    <w:qFormat/>
    <w:uiPriority w:val="0"/>
    <w:pPr>
      <w:keepNext/>
      <w:keepLines/>
      <w:numPr>
        <w:ilvl w:val="0"/>
        <w:numId w:val="1"/>
      </w:numPr>
      <w:snapToGrid w:val="0"/>
      <w:spacing w:before="156" w:beforeLines="50" w:after="156" w:afterLines="50" w:line="560" w:lineRule="exact"/>
      <w:outlineLvl w:val="2"/>
    </w:pPr>
    <w:rPr>
      <w:rFonts w:ascii="黑体" w:hAnsi="黑体" w:eastAsia="楷体" w:cs="Times New Roman"/>
      <w:b/>
      <w:bCs/>
      <w:kern w:val="0"/>
      <w:sz w:val="32"/>
      <w:szCs w:val="20"/>
      <w:lang w:val="zh-CN"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800"/>
      <w:jc w:val="left"/>
    </w:pPr>
    <w:rPr>
      <w:rFonts w:eastAsiaTheme="minorHAnsi"/>
      <w:sz w:val="20"/>
      <w:szCs w:val="2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29"/>
    <w:semiHidden/>
    <w:unhideWhenUsed/>
    <w:qFormat/>
    <w:uiPriority w:val="99"/>
    <w:pPr>
      <w:jc w:val="left"/>
    </w:pPr>
  </w:style>
  <w:style w:type="paragraph" w:styleId="8">
    <w:name w:val="toc 5"/>
    <w:basedOn w:val="1"/>
    <w:next w:val="1"/>
    <w:autoRedefine/>
    <w:unhideWhenUsed/>
    <w:qFormat/>
    <w:uiPriority w:val="39"/>
    <w:pPr>
      <w:ind w:left="1200"/>
      <w:jc w:val="left"/>
    </w:pPr>
    <w:rPr>
      <w:rFonts w:eastAsiaTheme="minorHAnsi"/>
      <w:sz w:val="20"/>
      <w:szCs w:val="20"/>
    </w:rPr>
  </w:style>
  <w:style w:type="paragraph" w:styleId="9">
    <w:name w:val="toc 3"/>
    <w:basedOn w:val="1"/>
    <w:next w:val="1"/>
    <w:autoRedefine/>
    <w:unhideWhenUsed/>
    <w:qFormat/>
    <w:uiPriority w:val="39"/>
    <w:pPr>
      <w:ind w:left="600"/>
      <w:jc w:val="left"/>
    </w:pPr>
    <w:rPr>
      <w:rFonts w:eastAsia="楷体"/>
      <w:sz w:val="32"/>
      <w:szCs w:val="20"/>
    </w:rPr>
  </w:style>
  <w:style w:type="paragraph" w:styleId="10">
    <w:name w:val="toc 8"/>
    <w:basedOn w:val="1"/>
    <w:next w:val="1"/>
    <w:autoRedefine/>
    <w:unhideWhenUsed/>
    <w:qFormat/>
    <w:uiPriority w:val="39"/>
    <w:pPr>
      <w:ind w:left="2100"/>
      <w:jc w:val="left"/>
    </w:pPr>
    <w:rPr>
      <w:rFonts w:eastAsiaTheme="minorHAnsi"/>
      <w:sz w:val="20"/>
      <w:szCs w:val="20"/>
    </w:rPr>
  </w:style>
  <w:style w:type="paragraph" w:styleId="11">
    <w:name w:val="footer"/>
    <w:basedOn w:val="1"/>
    <w:link w:val="32"/>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autoRedefine/>
    <w:unhideWhenUsed/>
    <w:qFormat/>
    <w:uiPriority w:val="39"/>
    <w:pPr>
      <w:spacing w:before="120"/>
    </w:pPr>
    <w:rPr>
      <w:rFonts w:eastAsia="方正小标宋_GBK" w:asciiTheme="minorHAnsi" w:hAnsiTheme="minorHAnsi" w:cstheme="minorBidi"/>
      <w:bCs/>
      <w:iCs/>
      <w:kern w:val="2"/>
      <w:sz w:val="36"/>
      <w:szCs w:val="24"/>
      <w:lang w:val="en-US" w:eastAsia="zh-CN" w:bidi="ar-SA"/>
    </w:rPr>
  </w:style>
  <w:style w:type="paragraph" w:styleId="14">
    <w:name w:val="toc 4"/>
    <w:basedOn w:val="1"/>
    <w:next w:val="1"/>
    <w:autoRedefine/>
    <w:unhideWhenUsed/>
    <w:qFormat/>
    <w:uiPriority w:val="39"/>
    <w:pPr>
      <w:ind w:left="900"/>
      <w:jc w:val="left"/>
    </w:pPr>
    <w:rPr>
      <w:rFonts w:eastAsiaTheme="minorHAnsi"/>
      <w:sz w:val="20"/>
      <w:szCs w:val="20"/>
    </w:rPr>
  </w:style>
  <w:style w:type="paragraph" w:styleId="15">
    <w:name w:val="toc 6"/>
    <w:basedOn w:val="1"/>
    <w:next w:val="1"/>
    <w:autoRedefine/>
    <w:unhideWhenUsed/>
    <w:qFormat/>
    <w:uiPriority w:val="39"/>
    <w:pPr>
      <w:ind w:left="1500"/>
      <w:jc w:val="left"/>
    </w:pPr>
    <w:rPr>
      <w:rFonts w:eastAsiaTheme="minorHAnsi"/>
      <w:sz w:val="20"/>
      <w:szCs w:val="20"/>
    </w:rPr>
  </w:style>
  <w:style w:type="paragraph" w:styleId="16">
    <w:name w:val="toc 2"/>
    <w:next w:val="1"/>
    <w:autoRedefine/>
    <w:unhideWhenUsed/>
    <w:qFormat/>
    <w:uiPriority w:val="39"/>
    <w:pPr>
      <w:spacing w:before="120"/>
      <w:ind w:left="300"/>
    </w:pPr>
    <w:rPr>
      <w:rFonts w:eastAsia="楷体" w:asciiTheme="minorHAnsi" w:hAnsiTheme="minorHAnsi" w:cstheme="minorBidi"/>
      <w:b/>
      <w:bCs/>
      <w:kern w:val="2"/>
      <w:sz w:val="32"/>
      <w:szCs w:val="22"/>
      <w:lang w:val="en-US" w:eastAsia="zh-CN" w:bidi="ar-SA"/>
    </w:rPr>
  </w:style>
  <w:style w:type="paragraph" w:styleId="17">
    <w:name w:val="toc 9"/>
    <w:basedOn w:val="1"/>
    <w:next w:val="1"/>
    <w:autoRedefine/>
    <w:unhideWhenUsed/>
    <w:qFormat/>
    <w:uiPriority w:val="39"/>
    <w:pPr>
      <w:ind w:left="2400"/>
      <w:jc w:val="left"/>
    </w:pPr>
    <w:rPr>
      <w:rFonts w:eastAsiaTheme="minorHAnsi"/>
      <w:sz w:val="20"/>
      <w:szCs w:val="20"/>
    </w:r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annotation subject"/>
    <w:basedOn w:val="7"/>
    <w:next w:val="7"/>
    <w:link w:val="30"/>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paragraph" w:styleId="26">
    <w:name w:val="List Paragraph"/>
    <w:basedOn w:val="1"/>
    <w:qFormat/>
    <w:uiPriority w:val="34"/>
    <w:pPr>
      <w:ind w:firstLine="420"/>
    </w:pPr>
  </w:style>
  <w:style w:type="character" w:customStyle="1" w:styleId="27">
    <w:name w:val="标题 1 字符"/>
    <w:basedOn w:val="22"/>
    <w:link w:val="2"/>
    <w:qFormat/>
    <w:uiPriority w:val="0"/>
    <w:rPr>
      <w:rFonts w:eastAsia="方正小标宋_GBK"/>
      <w:bCs/>
      <w:kern w:val="44"/>
      <w:sz w:val="36"/>
      <w:szCs w:val="44"/>
      <w:lang w:val="zh-CN"/>
    </w:rPr>
  </w:style>
  <w:style w:type="character" w:customStyle="1" w:styleId="28">
    <w:name w:val="标题 3 字符"/>
    <w:basedOn w:val="22"/>
    <w:link w:val="4"/>
    <w:qFormat/>
    <w:uiPriority w:val="0"/>
    <w:rPr>
      <w:rFonts w:ascii="黑体" w:hAnsi="黑体" w:eastAsia="楷体" w:cs="Times New Roman"/>
      <w:b/>
      <w:bCs/>
      <w:kern w:val="0"/>
      <w:sz w:val="32"/>
      <w:szCs w:val="20"/>
      <w:lang w:val="zh-CN"/>
    </w:rPr>
  </w:style>
  <w:style w:type="character" w:customStyle="1" w:styleId="29">
    <w:name w:val="批注文字 字符"/>
    <w:basedOn w:val="22"/>
    <w:link w:val="7"/>
    <w:semiHidden/>
    <w:qFormat/>
    <w:uiPriority w:val="99"/>
  </w:style>
  <w:style w:type="character" w:customStyle="1" w:styleId="30">
    <w:name w:val="批注主题 字符"/>
    <w:basedOn w:val="29"/>
    <w:link w:val="19"/>
    <w:semiHidden/>
    <w:qFormat/>
    <w:uiPriority w:val="99"/>
    <w:rPr>
      <w:b/>
      <w:bCs/>
    </w:rPr>
  </w:style>
  <w:style w:type="character" w:customStyle="1" w:styleId="31">
    <w:name w:val="页眉 字符"/>
    <w:basedOn w:val="22"/>
    <w:link w:val="12"/>
    <w:qFormat/>
    <w:uiPriority w:val="99"/>
    <w:rPr>
      <w:rFonts w:eastAsia="仿宋_GB2312"/>
      <w:sz w:val="18"/>
      <w:szCs w:val="18"/>
    </w:rPr>
  </w:style>
  <w:style w:type="character" w:customStyle="1" w:styleId="32">
    <w:name w:val="页脚 字符"/>
    <w:basedOn w:val="22"/>
    <w:link w:val="11"/>
    <w:qFormat/>
    <w:uiPriority w:val="99"/>
    <w:rPr>
      <w:rFonts w:eastAsia="仿宋_GB2312"/>
      <w:sz w:val="18"/>
      <w:szCs w:val="18"/>
    </w:rPr>
  </w:style>
  <w:style w:type="paragraph" w:customStyle="1" w:styleId="33">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lang w:val="en-US"/>
    </w:rPr>
  </w:style>
  <w:style w:type="paragraph" w:styleId="34">
    <w:name w:val="No Spacing"/>
    <w:qFormat/>
    <w:uiPriority w:val="1"/>
    <w:pPr>
      <w:widowControl w:val="0"/>
      <w:ind w:firstLine="200" w:firstLineChars="200"/>
      <w:jc w:val="both"/>
    </w:pPr>
    <w:rPr>
      <w:rFonts w:eastAsia="仿宋_GB2312" w:asciiTheme="minorHAnsi" w:hAnsiTheme="minorHAnsi" w:cstheme="minorBidi"/>
      <w:kern w:val="2"/>
      <w:sz w:val="30"/>
      <w:szCs w:val="22"/>
      <w:lang w:val="en-US" w:eastAsia="zh-CN" w:bidi="ar-SA"/>
    </w:rPr>
  </w:style>
  <w:style w:type="paragraph" w:customStyle="1" w:styleId="35">
    <w:name w:val="封面"/>
    <w:link w:val="36"/>
    <w:qFormat/>
    <w:uiPriority w:val="0"/>
    <w:pPr>
      <w:spacing w:line="640" w:lineRule="exact"/>
      <w:jc w:val="right"/>
    </w:pPr>
    <w:rPr>
      <w:rFonts w:ascii="华文中宋" w:hAnsi="华文中宋" w:eastAsia="华文中宋" w:cs="Times New Roman"/>
      <w:kern w:val="2"/>
      <w:sz w:val="36"/>
      <w:szCs w:val="72"/>
      <w:lang w:val="en-US" w:eastAsia="zh-CN" w:bidi="ar-SA"/>
    </w:rPr>
  </w:style>
  <w:style w:type="character" w:customStyle="1" w:styleId="36">
    <w:name w:val="封面 字符"/>
    <w:basedOn w:val="22"/>
    <w:link w:val="35"/>
    <w:qFormat/>
    <w:uiPriority w:val="0"/>
    <w:rPr>
      <w:rFonts w:ascii="华文中宋" w:hAnsi="华文中宋" w:eastAsia="华文中宋" w:cs="Times New Roman"/>
      <w:sz w:val="36"/>
      <w:szCs w:val="72"/>
    </w:rPr>
  </w:style>
  <w:style w:type="paragraph" w:customStyle="1" w:styleId="37">
    <w:name w:val="表格"/>
    <w:link w:val="38"/>
    <w:qFormat/>
    <w:uiPriority w:val="0"/>
    <w:pPr>
      <w:adjustRightInd w:val="0"/>
      <w:snapToGrid w:val="0"/>
    </w:pPr>
    <w:rPr>
      <w:rFonts w:eastAsia="仿宋_GB2312" w:asciiTheme="minorHAnsi" w:hAnsiTheme="minorHAnsi" w:cstheme="minorBidi"/>
      <w:kern w:val="2"/>
      <w:sz w:val="21"/>
      <w:szCs w:val="16"/>
      <w:lang w:val="zh-CN" w:eastAsia="zh-CN" w:bidi="ar-SA"/>
    </w:rPr>
  </w:style>
  <w:style w:type="character" w:customStyle="1" w:styleId="38">
    <w:name w:val="表格 字符"/>
    <w:basedOn w:val="22"/>
    <w:link w:val="37"/>
    <w:qFormat/>
    <w:uiPriority w:val="0"/>
    <w:rPr>
      <w:rFonts w:eastAsia="仿宋_GB2312"/>
      <w:szCs w:val="16"/>
      <w:lang w:val="zh-CN"/>
    </w:rPr>
  </w:style>
  <w:style w:type="paragraph" w:customStyle="1" w:styleId="39">
    <w:name w:val="表格备注"/>
    <w:link w:val="40"/>
    <w:qFormat/>
    <w:uiPriority w:val="0"/>
    <w:pPr>
      <w:ind w:firstLine="420"/>
    </w:pPr>
    <w:rPr>
      <w:rFonts w:ascii="楷体" w:hAnsi="楷体" w:eastAsia="楷体" w:cstheme="minorBidi"/>
      <w:kern w:val="2"/>
      <w:sz w:val="21"/>
      <w:szCs w:val="21"/>
      <w:lang w:val="zh-CN" w:eastAsia="zh-CN" w:bidi="ar-SA"/>
    </w:rPr>
  </w:style>
  <w:style w:type="character" w:customStyle="1" w:styleId="40">
    <w:name w:val="表格备注 字符"/>
    <w:basedOn w:val="22"/>
    <w:link w:val="39"/>
    <w:qFormat/>
    <w:uiPriority w:val="0"/>
    <w:rPr>
      <w:rFonts w:ascii="楷体" w:hAnsi="楷体" w:eastAsia="楷体"/>
      <w:szCs w:val="21"/>
      <w:lang w:val="zh-CN"/>
    </w:rPr>
  </w:style>
  <w:style w:type="character" w:customStyle="1" w:styleId="41">
    <w:name w:val="标题 2 字符"/>
    <w:basedOn w:val="22"/>
    <w:link w:val="3"/>
    <w:semiHidden/>
    <w:qFormat/>
    <w:uiPriority w:val="9"/>
    <w:rPr>
      <w:rFonts w:asciiTheme="majorHAnsi" w:hAnsiTheme="majorHAnsi" w:eastAsiaTheme="majorEastAsia" w:cstheme="majorBidi"/>
      <w:b/>
      <w:bCs/>
      <w:sz w:val="32"/>
      <w:szCs w:val="32"/>
    </w:rPr>
  </w:style>
  <w:style w:type="paragraph" w:customStyle="1" w:styleId="42">
    <w:name w:val="图片"/>
    <w:basedOn w:val="1"/>
    <w:link w:val="43"/>
    <w:qFormat/>
    <w:uiPriority w:val="0"/>
    <w:pPr>
      <w:ind w:firstLine="0" w:firstLineChars="0"/>
      <w:jc w:val="center"/>
    </w:pPr>
  </w:style>
  <w:style w:type="character" w:customStyle="1" w:styleId="43">
    <w:name w:val="图片 字符"/>
    <w:basedOn w:val="22"/>
    <w:link w:val="42"/>
    <w:qFormat/>
    <w:uiPriority w:val="0"/>
    <w:rPr>
      <w:rFonts w:eastAsia="仿宋_GB2312"/>
      <w:sz w:val="30"/>
    </w:rPr>
  </w:style>
  <w:style w:type="paragraph" w:customStyle="1" w:styleId="44">
    <w:name w:val="SZ-图名"/>
    <w:basedOn w:val="1"/>
    <w:autoRedefine/>
    <w:qFormat/>
    <w:uiPriority w:val="0"/>
    <w:pPr>
      <w:spacing w:before="0" w:beforeLines="0"/>
      <w:ind w:firstLine="0" w:firstLineChars="0"/>
      <w:jc w:val="center"/>
    </w:pPr>
    <w:rPr>
      <w:rFonts w:eastAsia="黑体"/>
      <w:sz w:val="2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FE0C6EBB-6ED4-4FCF-9094-F9ECA7AE3139}">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3075</Words>
  <Characters>3194</Characters>
  <Lines>1</Lines>
  <Paragraphs>1</Paragraphs>
  <TotalTime>101</TotalTime>
  <ScaleCrop>false</ScaleCrop>
  <LinksUpToDate>false</LinksUpToDate>
  <CharactersWithSpaces>3202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2024-04-25T22:37:00Z</dcterms:created>
  <dc:creator>佟鹏</dc:creator>
  <cp:lastModifiedBy>sugon</cp:lastModifiedBy>
  <dcterms:modified xsi:type="dcterms:W3CDTF">2024-07-24T15:43:59Z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76A6C0D13A94871BBFB0A066DCB0DE54_43</vt:lpwstr>
  </property>
</Properties>
</file>