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2020年政府预算公开相关说明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根据《财政部关于印发&lt;地方预决算公开操作规程&gt;的通知》（财预[2016]143号）文件精神，为方便广大群众对我区2020年政府预算的理解和监督，现将有关重要事项说明如下：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一、“三公”经费预算安排情况及增减变化说明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区“三公”经费预算数867万元，与上年持平。其中公务接待费17万元，下降35%；减少的主要原因为压缩一般性支出；公务用车运行维护费625万元，下降0.16%；公务出国出境费0万元，下降0%；公务用车购置费225万元，增长5%，增加的主要原因为根据车改办核定的事业单位用车数量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平台面临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，车况差，行驶不安全，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需要更换。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二、财政转移支付安排情况说明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现行财政转移支付分为一般性转移支付和专项转移支付。一般性转移支付和专项转移支付各有特点。前者可以按照相关规定统筹安排和使用，后者能够体现上级政府政策导向，便于监督检查。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 一般性转移支付主要包括均衡性转移支付、县级基本财力保障机制奖补资金、结算补助、资源枯竭型城市转移支付补助、固定数额补助、革命老区转移支付、贫困地区转移支付、一般公共服务共同财政事权转移支付、外交共同财政事权转移支付、国防共同财政事权转移支付、公共安全共同财政事权转移支付、教育共同财政事权转移支付、科学技术共同财政事权转移支付、文化旅游体育与传媒共同财政事权转移支付、社会保障和就业共同财政事权转移支付、卫生健康共同财政事权转移支付、节能环保共同财政事权转移支付、农林水共同财政事权转移支付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专项转移支付主要是根据党中央、国务院和省委、省政府确定的政策，按照集中资金、突出重点、专款专用的要求，重点用于农林水、教育、医疗卫生、社会保障和就业、交通运输、节能环保等领域。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20年，中央、省、市对我区共提前下达转移支付资金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42716万元。其中：一般性转移支付40392万元，专项转移支付2324万元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，全部纳入年初预算。一般性转移支付占提前下达转移支付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比重达到95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三、举借债务情况说明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坚决贯彻党中央关于“积极稳妥化解累积的地方政府债务风险，有效规范地方政府举债融资，坚决遏制隐性债务增量”的要求和财政部、省委省政府的工作部署，加强政府债务风险防控，做到举债合规、程序透明、规模适度、风险可控。</w:t>
      </w:r>
      <w:r>
        <w:rPr>
          <w:rFonts w:hint="eastAsia" w:ascii="仿宋_GB2312" w:eastAsia="仿宋_GB2312"/>
          <w:sz w:val="32"/>
          <w:lang w:val="en-US" w:eastAsia="zh-CN"/>
        </w:rPr>
        <w:t>2019年上级核定</w:t>
      </w:r>
      <w:r>
        <w:rPr>
          <w:rFonts w:hint="eastAsia" w:ascii="仿宋_GB2312" w:hAnsi="宋体" w:eastAsia="仿宋_GB2312"/>
          <w:color w:val="auto"/>
          <w:kern w:val="0"/>
          <w:sz w:val="32"/>
        </w:rPr>
        <w:t>全</w:t>
      </w:r>
      <w:r>
        <w:rPr>
          <w:rFonts w:hint="eastAsia" w:ascii="仿宋_GB2312" w:hAnsi="宋体" w:eastAsia="仿宋_GB2312"/>
          <w:color w:val="auto"/>
          <w:kern w:val="0"/>
          <w:sz w:val="32"/>
          <w:lang w:eastAsia="zh-CN"/>
        </w:rPr>
        <w:t>区</w:t>
      </w:r>
      <w:r>
        <w:rPr>
          <w:rFonts w:hint="eastAsia" w:ascii="仿宋_GB2312" w:hAnsi="宋体" w:eastAsia="仿宋_GB2312"/>
          <w:color w:val="auto"/>
          <w:kern w:val="0"/>
          <w:sz w:val="32"/>
        </w:rPr>
        <w:t>政府性债务限额</w:t>
      </w:r>
      <w:r>
        <w:rPr>
          <w:rFonts w:hint="eastAsia" w:ascii="仿宋_GB2312" w:hAnsi="宋体" w:eastAsia="仿宋_GB2312"/>
          <w:color w:val="auto"/>
          <w:kern w:val="0"/>
          <w:sz w:val="32"/>
          <w:lang w:val="en-US" w:eastAsia="zh-CN"/>
        </w:rPr>
        <w:t>52153万</w:t>
      </w:r>
      <w:r>
        <w:rPr>
          <w:rFonts w:hint="eastAsia" w:ascii="仿宋_GB2312" w:hAnsi="宋体" w:eastAsia="仿宋_GB2312"/>
          <w:color w:val="auto"/>
          <w:kern w:val="0"/>
          <w:sz w:val="32"/>
        </w:rPr>
        <w:t>元，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其中：一般债务限额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42820万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元，专项债务限额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9333万</w:t>
      </w:r>
      <w:r>
        <w:rPr>
          <w:rFonts w:hint="eastAsia" w:ascii="仿宋" w:hAnsi="仿宋" w:eastAsia="仿宋" w:cs="仿宋"/>
          <w:color w:val="auto"/>
          <w:kern w:val="0"/>
          <w:sz w:val="32"/>
        </w:rPr>
        <w:t>元。</w:t>
      </w:r>
      <w:r>
        <w:rPr>
          <w:rFonts w:hint="eastAsia" w:ascii="仿宋" w:hAnsi="仿宋" w:eastAsia="仿宋" w:cs="仿宋"/>
          <w:sz w:val="32"/>
        </w:rPr>
        <w:t>截止201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年底，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政府债务余额为41745万元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，其中：</w:t>
      </w:r>
      <w:r>
        <w:rPr>
          <w:rFonts w:hint="eastAsia" w:ascii="仿宋" w:hAnsi="仿宋" w:eastAsia="仿宋" w:cs="仿宋"/>
          <w:color w:val="auto"/>
          <w:kern w:val="0"/>
          <w:sz w:val="32"/>
        </w:rPr>
        <w:t>一般债务</w:t>
      </w:r>
      <w:r>
        <w:rPr>
          <w:rFonts w:hint="eastAsia" w:ascii="仿宋" w:hAnsi="仿宋" w:eastAsia="仿宋" w:cs="仿宋"/>
          <w:color w:val="auto"/>
          <w:kern w:val="0"/>
          <w:sz w:val="32"/>
          <w:lang w:eastAsia="zh-CN"/>
        </w:rPr>
        <w:t>余额为32745万元，专项债务余额为</w:t>
      </w:r>
      <w:r>
        <w:rPr>
          <w:rFonts w:hint="eastAsia" w:ascii="仿宋" w:hAnsi="仿宋" w:eastAsia="仿宋" w:cs="仿宋"/>
          <w:color w:val="auto"/>
          <w:kern w:val="0"/>
          <w:sz w:val="32"/>
          <w:lang w:val="en-US" w:eastAsia="zh-CN"/>
        </w:rPr>
        <w:t>9000万元。</w:t>
      </w:r>
    </w:p>
    <w:p>
      <w:pPr>
        <w:autoSpaceDE/>
        <w:autoSpaceDN/>
        <w:adjustRightInd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val="zh-CN"/>
        </w:rPr>
        <w:t>我区加强政府债务管理采取的主要措施包括：</w:t>
      </w:r>
    </w:p>
    <w:p>
      <w:pPr>
        <w:spacing w:beforeLines="0" w:afterLines="0"/>
        <w:ind w:firstLine="640" w:firstLineChars="200"/>
        <w:rPr>
          <w:rFonts w:hint="default" w:ascii="仿宋_GB2312" w:hAns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一是</w:t>
      </w:r>
      <w:r>
        <w:rPr>
          <w:rFonts w:hint="eastAsia" w:ascii="仿宋_GB2312" w:eastAsia="仿宋_GB2312"/>
          <w:color w:val="auto"/>
          <w:sz w:val="32"/>
          <w:lang w:eastAsia="zh-CN"/>
        </w:rPr>
        <w:t>加强制度管理</w:t>
      </w:r>
      <w:r>
        <w:rPr>
          <w:rFonts w:hint="eastAsia" w:ascii="仿宋_GB2312" w:eastAsia="仿宋_GB2312"/>
          <w:color w:val="auto"/>
          <w:sz w:val="32"/>
        </w:rPr>
        <w:t>。2017年</w:t>
      </w:r>
      <w:r>
        <w:rPr>
          <w:rFonts w:hint="eastAsia" w:ascii="仿宋_GB2312" w:hAnsi="仿宋_GB2312" w:eastAsia="仿宋_GB2312"/>
          <w:color w:val="auto"/>
          <w:sz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月份，我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印发了</w:t>
      </w:r>
      <w:r>
        <w:rPr>
          <w:rFonts w:hint="eastAsia" w:ascii="仿宋_GB2312" w:eastAsia="仿宋_GB2312"/>
          <w:color w:val="auto"/>
          <w:sz w:val="32"/>
        </w:rPr>
        <w:t>《</w:t>
      </w:r>
      <w:r>
        <w:rPr>
          <w:rFonts w:hint="eastAsia" w:ascii="仿宋_GB2312" w:eastAsia="仿宋_GB2312"/>
          <w:color w:val="auto"/>
          <w:sz w:val="32"/>
          <w:lang w:eastAsia="zh-CN"/>
        </w:rPr>
        <w:t>长治县</w:t>
      </w:r>
      <w:r>
        <w:rPr>
          <w:rFonts w:hint="eastAsia" w:ascii="仿宋_GB2312" w:eastAsia="仿宋_GB2312"/>
          <w:color w:val="auto"/>
          <w:sz w:val="32"/>
        </w:rPr>
        <w:t>加强地方政府性债务管理的实施意见》（长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hAnsi="仿宋_GB2312" w:eastAsia="仿宋_GB2312"/>
          <w:color w:val="auto"/>
          <w:sz w:val="32"/>
        </w:rPr>
        <w:t>从规范政府举债融资机制、债务资金举借、债务资金使用、债务资金偿还、存量债务化解、债务信息统计报告、债务风险预警和应急处置、监督与管理、责任追究等九个方面对我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的地方政府性债务管理进行了规范，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加强了我区</w:t>
      </w:r>
      <w:r>
        <w:rPr>
          <w:rFonts w:hint="eastAsia" w:ascii="仿宋_GB2312" w:hAnsi="仿宋_GB2312" w:eastAsia="仿宋_GB2312"/>
          <w:color w:val="auto"/>
          <w:sz w:val="32"/>
        </w:rPr>
        <w:t>债务管理的制度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保障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二是建立应急处置机制。2017年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</w:rPr>
        <w:t>月份，我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印发了《长治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政府性债务风险</w:t>
      </w:r>
      <w:r>
        <w:rPr>
          <w:rFonts w:hint="eastAsia" w:ascii="仿宋_GB2312" w:eastAsia="仿宋_GB2312"/>
          <w:color w:val="auto"/>
          <w:sz w:val="32"/>
          <w:lang w:eastAsia="zh-CN"/>
        </w:rPr>
        <w:t>预警及</w:t>
      </w:r>
      <w:r>
        <w:rPr>
          <w:rFonts w:hint="eastAsia" w:ascii="仿宋_GB2312" w:eastAsia="仿宋_GB2312"/>
          <w:color w:val="auto"/>
          <w:sz w:val="32"/>
        </w:rPr>
        <w:t>应急处置预案》（长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政办发[2017]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eastAsia="仿宋_GB2312"/>
          <w:color w:val="auto"/>
          <w:sz w:val="32"/>
          <w:lang w:eastAsia="zh-CN"/>
        </w:rPr>
        <w:t>成立了政府性债务管理领导小组，</w:t>
      </w:r>
      <w:r>
        <w:rPr>
          <w:rFonts w:hint="eastAsia" w:ascii="仿宋_GB2312" w:eastAsia="仿宋_GB2312"/>
          <w:color w:val="auto"/>
          <w:sz w:val="32"/>
        </w:rPr>
        <w:t>积极防范和化解财政金融风险，确保不发生区域性系统性风险。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三是统筹资金清偿债务。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2019年</w:t>
      </w:r>
      <w:r>
        <w:rPr>
          <w:rFonts w:hint="eastAsia" w:ascii="仿宋_GB2312" w:eastAsia="仿宋_GB2312"/>
          <w:color w:val="auto"/>
          <w:sz w:val="32"/>
          <w:lang w:eastAsia="zh-CN"/>
        </w:rPr>
        <w:t>年初通过预算安排资金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1.6亿</w:t>
      </w:r>
      <w:r>
        <w:rPr>
          <w:rFonts w:hint="eastAsia" w:ascii="仿宋_GB2312" w:eastAsia="仿宋_GB2312"/>
          <w:color w:val="auto"/>
          <w:sz w:val="32"/>
          <w:lang w:eastAsia="zh-CN"/>
        </w:rPr>
        <w:t>，及时化解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涉及供气供暖等民生、安全方面的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工程项目欠款</w:t>
      </w:r>
      <w:r>
        <w:rPr>
          <w:rFonts w:hint="eastAsia" w:ascii="仿宋_GB2312" w:eastAsia="仿宋_GB2312"/>
          <w:color w:val="auto"/>
          <w:sz w:val="32"/>
          <w:lang w:eastAsia="zh-CN"/>
        </w:rPr>
        <w:t>，做到</w:t>
      </w:r>
      <w:r>
        <w:rPr>
          <w:rFonts w:hint="eastAsia" w:ascii="仿宋_GB2312" w:eastAsia="仿宋_GB2312"/>
          <w:color w:val="auto"/>
          <w:sz w:val="32"/>
        </w:rPr>
        <w:t>维护</w:t>
      </w:r>
      <w:r>
        <w:rPr>
          <w:rFonts w:hint="eastAsia" w:ascii="仿宋_GB2312" w:eastAsia="仿宋_GB2312"/>
          <w:color w:val="auto"/>
          <w:sz w:val="32"/>
          <w:lang w:eastAsia="zh-CN"/>
        </w:rPr>
        <w:t>好</w:t>
      </w:r>
      <w:r>
        <w:rPr>
          <w:rFonts w:hint="eastAsia" w:ascii="仿宋_GB2312" w:eastAsia="仿宋_GB2312"/>
          <w:color w:val="auto"/>
          <w:sz w:val="32"/>
        </w:rPr>
        <w:t>社会和谐稳定</w:t>
      </w:r>
      <w:r>
        <w:rPr>
          <w:rFonts w:hint="eastAsia" w:ascii="仿宋_GB2312" w:eastAsia="仿宋_GB2312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四是清底建账清偿债务。制定《长治县化解政府隐性债务实施方案》，做到稳妥化解债务，坚决遏制隐性债务，力争用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5-10年化解完毕；同时将清理化解民营企业欠款作为2019年的重点工作，截至年底，清理民营企业欠款3948.7万元，清欠率达到73.59%。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</w:rPr>
        <w:t>是坚决制止违法举债。贯彻落实中央和省委、省政府坚决禁止政府违法违规融资的工作部署，积极组织开展了政府违法违规举债、违规实施购买服务等变相举债排查整改工作，确保排查整改工作不留死角、落到实处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预算绩效开展情况说明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党的十九大报告提出“建立全面规范透明、标准科学、约束有力的预算制度，全面实施绩效管理”。预算绩效管理是财政科学化、精细化管理的核心，也是深化财政体制改革的灵魂，把绩效管理有机融入到预算编制、执行和监督的全过程，是建立现代财政制度、提高政府效能、更好为民理财的必然途径。201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年，</w:t>
      </w:r>
      <w:r>
        <w:rPr>
          <w:rFonts w:hint="eastAsia" w:ascii="仿宋_GB2312" w:hAnsi="仿宋" w:eastAsia="仿宋_GB2312"/>
          <w:color w:val="auto"/>
          <w:kern w:val="0"/>
          <w:sz w:val="32"/>
          <w:lang w:eastAsia="zh-CN"/>
        </w:rPr>
        <w:t>我区</w:t>
      </w:r>
      <w:r>
        <w:rPr>
          <w:rFonts w:hint="eastAsia" w:ascii="仿宋_GB2312" w:hAnsi="仿宋" w:eastAsia="仿宋_GB2312"/>
          <w:color w:val="auto"/>
          <w:kern w:val="0"/>
          <w:sz w:val="32"/>
        </w:rPr>
        <w:t>继续完善“预算编制有目标、预算执行有监控、预算完成有评价、评价结果有反馈、反馈结果有应用”的全过程预算绩效管理机制，深入推进预算绩效管理，主要采取了以下措施：</w:t>
      </w:r>
    </w:p>
    <w:p>
      <w:pPr>
        <w:pStyle w:val="8"/>
        <w:widowControl w:val="0"/>
        <w:spacing w:before="0" w:beforeAutospacing="0" w:after="0" w:afterAutospacing="0" w:line="600" w:lineRule="exac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一、夯实预算绩效管理制度基础</w:t>
      </w:r>
    </w:p>
    <w:p>
      <w:pPr>
        <w:pStyle w:val="8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积极推进制度建设，拟出台</w:t>
      </w:r>
      <w:r>
        <w:rPr>
          <w:rFonts w:hint="eastAsia" w:ascii="仿宋_GB2312" w:hAnsi="仿宋" w:eastAsia="仿宋_GB2312"/>
          <w:bCs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长治市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上党区</w:t>
      </w:r>
      <w:r>
        <w:rPr>
          <w:rFonts w:hint="eastAsia" w:ascii="仿宋_GB2312" w:hAnsi="仿宋" w:eastAsia="仿宋_GB2312"/>
          <w:sz w:val="32"/>
          <w:szCs w:val="32"/>
        </w:rPr>
        <w:t>全面实施预算绩效管理工作方案</w:t>
      </w:r>
      <w:r>
        <w:rPr>
          <w:rFonts w:hint="eastAsia" w:ascii="仿宋_GB2312" w:hAnsi="仿宋" w:eastAsia="仿宋_GB2312"/>
          <w:bCs/>
          <w:sz w:val="32"/>
          <w:szCs w:val="32"/>
        </w:rPr>
        <w:t>》，围绕全面实施预算绩效管理要求，积极制定实施细则，修订完善预算绩效管理制度，为构建全方位、全过程、全覆盖的绩效管理体系奠定坚实基础。</w:t>
      </w:r>
    </w:p>
    <w:p>
      <w:pPr>
        <w:spacing w:line="672" w:lineRule="exact"/>
        <w:ind w:firstLine="643" w:firstLineChars="200"/>
        <w:rPr>
          <w:rFonts w:hint="eastAsia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二、全面实施预算绩效目标管理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根据“谁申请资金，谁编制目标”的原则，按照统一安排，在编制201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部门预算时，预算单位根据《预算法》和预算绩效管理相关要求，对所有项目支出编制绩效目标，实现了绩效目标管理全覆盖。财政部门和主管部门通过绩效目标“五审机制”，层层把关、审核，使绩效目标描述清晰、依据充分，财政预算安排的项目更加科学合理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预算单位的4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个项目资金进行了绩效目标申报，涉及资金10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2020年也严格按照要求在编制2020年预算时所有项目进行了绩效目标的填报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3F96"/>
    <w:rsid w:val="003958C3"/>
    <w:rsid w:val="00505C33"/>
    <w:rsid w:val="00BC6F25"/>
    <w:rsid w:val="01390CA6"/>
    <w:rsid w:val="0176318F"/>
    <w:rsid w:val="01F07647"/>
    <w:rsid w:val="01F45BEC"/>
    <w:rsid w:val="02333C18"/>
    <w:rsid w:val="02AE7835"/>
    <w:rsid w:val="02D96651"/>
    <w:rsid w:val="03935E9F"/>
    <w:rsid w:val="0460230C"/>
    <w:rsid w:val="049849A4"/>
    <w:rsid w:val="04B6630E"/>
    <w:rsid w:val="04CE3E1E"/>
    <w:rsid w:val="05236182"/>
    <w:rsid w:val="05C1792B"/>
    <w:rsid w:val="071312F3"/>
    <w:rsid w:val="071E46E4"/>
    <w:rsid w:val="072C2909"/>
    <w:rsid w:val="08331276"/>
    <w:rsid w:val="08541DAD"/>
    <w:rsid w:val="08A97959"/>
    <w:rsid w:val="08BE1B7C"/>
    <w:rsid w:val="08CC378D"/>
    <w:rsid w:val="08DF5958"/>
    <w:rsid w:val="08ED2AE1"/>
    <w:rsid w:val="09092606"/>
    <w:rsid w:val="091B15E3"/>
    <w:rsid w:val="091E00C7"/>
    <w:rsid w:val="09965EE7"/>
    <w:rsid w:val="09C255E5"/>
    <w:rsid w:val="0A3060DE"/>
    <w:rsid w:val="0A854146"/>
    <w:rsid w:val="0AB2475C"/>
    <w:rsid w:val="0AD52506"/>
    <w:rsid w:val="0B24227F"/>
    <w:rsid w:val="0B700A99"/>
    <w:rsid w:val="0BCB0447"/>
    <w:rsid w:val="0BFD5F80"/>
    <w:rsid w:val="0C4D7BA0"/>
    <w:rsid w:val="0C6209FE"/>
    <w:rsid w:val="0CCD547A"/>
    <w:rsid w:val="0D2E2E6B"/>
    <w:rsid w:val="0D3F6B27"/>
    <w:rsid w:val="0DD352DE"/>
    <w:rsid w:val="0E872D43"/>
    <w:rsid w:val="0E887B6F"/>
    <w:rsid w:val="0F0F2869"/>
    <w:rsid w:val="0FA66993"/>
    <w:rsid w:val="0FBB5C7D"/>
    <w:rsid w:val="0FD668B6"/>
    <w:rsid w:val="10185E81"/>
    <w:rsid w:val="10201E49"/>
    <w:rsid w:val="10426FDC"/>
    <w:rsid w:val="10CC1FCC"/>
    <w:rsid w:val="115C5D84"/>
    <w:rsid w:val="11ED76D2"/>
    <w:rsid w:val="12253F3B"/>
    <w:rsid w:val="12F05DE4"/>
    <w:rsid w:val="12F7390A"/>
    <w:rsid w:val="130C041F"/>
    <w:rsid w:val="13112028"/>
    <w:rsid w:val="13855304"/>
    <w:rsid w:val="13B83085"/>
    <w:rsid w:val="13F0266A"/>
    <w:rsid w:val="13F45848"/>
    <w:rsid w:val="140A38C3"/>
    <w:rsid w:val="14CD566A"/>
    <w:rsid w:val="15120515"/>
    <w:rsid w:val="15243694"/>
    <w:rsid w:val="152D5B23"/>
    <w:rsid w:val="153B631B"/>
    <w:rsid w:val="15703044"/>
    <w:rsid w:val="15722B45"/>
    <w:rsid w:val="15882482"/>
    <w:rsid w:val="15AF0B9B"/>
    <w:rsid w:val="163E52C2"/>
    <w:rsid w:val="169C775A"/>
    <w:rsid w:val="17590093"/>
    <w:rsid w:val="17A62E0F"/>
    <w:rsid w:val="17B47E0F"/>
    <w:rsid w:val="181C1C6C"/>
    <w:rsid w:val="183D143A"/>
    <w:rsid w:val="186A4756"/>
    <w:rsid w:val="1945364A"/>
    <w:rsid w:val="196A0384"/>
    <w:rsid w:val="1A1C40C3"/>
    <w:rsid w:val="1A41751F"/>
    <w:rsid w:val="1B50288B"/>
    <w:rsid w:val="1BCA3AB6"/>
    <w:rsid w:val="1BE02FFB"/>
    <w:rsid w:val="1C4A115C"/>
    <w:rsid w:val="1C794DED"/>
    <w:rsid w:val="1CDA2EF6"/>
    <w:rsid w:val="1D3B6632"/>
    <w:rsid w:val="1D3F2DAB"/>
    <w:rsid w:val="1D621C1A"/>
    <w:rsid w:val="1DF003FA"/>
    <w:rsid w:val="1E130B9A"/>
    <w:rsid w:val="1E426084"/>
    <w:rsid w:val="1E551FAE"/>
    <w:rsid w:val="1F27491E"/>
    <w:rsid w:val="1F331950"/>
    <w:rsid w:val="1F950D49"/>
    <w:rsid w:val="1F9B318C"/>
    <w:rsid w:val="200663C6"/>
    <w:rsid w:val="20104E3F"/>
    <w:rsid w:val="20242856"/>
    <w:rsid w:val="20A17424"/>
    <w:rsid w:val="20B50EB9"/>
    <w:rsid w:val="210C675E"/>
    <w:rsid w:val="21433BD8"/>
    <w:rsid w:val="214C2493"/>
    <w:rsid w:val="21D43DDB"/>
    <w:rsid w:val="2208586E"/>
    <w:rsid w:val="22350D79"/>
    <w:rsid w:val="22A52C90"/>
    <w:rsid w:val="23427576"/>
    <w:rsid w:val="23455D2F"/>
    <w:rsid w:val="237A24B9"/>
    <w:rsid w:val="23FE7F50"/>
    <w:rsid w:val="2543028D"/>
    <w:rsid w:val="25912DB6"/>
    <w:rsid w:val="259E44AB"/>
    <w:rsid w:val="25E93B4D"/>
    <w:rsid w:val="26384993"/>
    <w:rsid w:val="26EB0052"/>
    <w:rsid w:val="27055ABF"/>
    <w:rsid w:val="270F3FDF"/>
    <w:rsid w:val="27171C0D"/>
    <w:rsid w:val="275D3F92"/>
    <w:rsid w:val="279C1C90"/>
    <w:rsid w:val="27CC5950"/>
    <w:rsid w:val="27D6098A"/>
    <w:rsid w:val="2806607D"/>
    <w:rsid w:val="28586958"/>
    <w:rsid w:val="28783064"/>
    <w:rsid w:val="29237B86"/>
    <w:rsid w:val="293F5D44"/>
    <w:rsid w:val="29BE12D9"/>
    <w:rsid w:val="2AAA125D"/>
    <w:rsid w:val="2B163ECA"/>
    <w:rsid w:val="2B4E30C6"/>
    <w:rsid w:val="2B986296"/>
    <w:rsid w:val="2B99651C"/>
    <w:rsid w:val="2BBA769F"/>
    <w:rsid w:val="2BCF523F"/>
    <w:rsid w:val="2BF644D4"/>
    <w:rsid w:val="2C2B4E22"/>
    <w:rsid w:val="2C2E69DB"/>
    <w:rsid w:val="2C6D32F2"/>
    <w:rsid w:val="2C777977"/>
    <w:rsid w:val="2CCF749E"/>
    <w:rsid w:val="2D0450D5"/>
    <w:rsid w:val="2D496B71"/>
    <w:rsid w:val="2E511523"/>
    <w:rsid w:val="2EC350E5"/>
    <w:rsid w:val="2EEA0ED1"/>
    <w:rsid w:val="2F1935A3"/>
    <w:rsid w:val="2F7C6780"/>
    <w:rsid w:val="2FB24414"/>
    <w:rsid w:val="2FC27EE3"/>
    <w:rsid w:val="301A7B6D"/>
    <w:rsid w:val="30264B34"/>
    <w:rsid w:val="308A64AF"/>
    <w:rsid w:val="30936173"/>
    <w:rsid w:val="309B4525"/>
    <w:rsid w:val="31793778"/>
    <w:rsid w:val="317A39ED"/>
    <w:rsid w:val="31E27955"/>
    <w:rsid w:val="31E87286"/>
    <w:rsid w:val="322B42E2"/>
    <w:rsid w:val="328D35F1"/>
    <w:rsid w:val="32992EBD"/>
    <w:rsid w:val="32C62B3F"/>
    <w:rsid w:val="3460107B"/>
    <w:rsid w:val="34A21B36"/>
    <w:rsid w:val="34A55207"/>
    <w:rsid w:val="350F7213"/>
    <w:rsid w:val="357E157F"/>
    <w:rsid w:val="358D2DB6"/>
    <w:rsid w:val="360C0A10"/>
    <w:rsid w:val="36162679"/>
    <w:rsid w:val="36BB783D"/>
    <w:rsid w:val="37096110"/>
    <w:rsid w:val="37401B34"/>
    <w:rsid w:val="379836AD"/>
    <w:rsid w:val="379C5DC5"/>
    <w:rsid w:val="37E13162"/>
    <w:rsid w:val="382D3A03"/>
    <w:rsid w:val="388173FF"/>
    <w:rsid w:val="3895609C"/>
    <w:rsid w:val="39B90964"/>
    <w:rsid w:val="3A131D25"/>
    <w:rsid w:val="3A174277"/>
    <w:rsid w:val="3A55584E"/>
    <w:rsid w:val="3A9F6163"/>
    <w:rsid w:val="3AA322B5"/>
    <w:rsid w:val="3ABE20C9"/>
    <w:rsid w:val="3AEB2D3F"/>
    <w:rsid w:val="3BE95896"/>
    <w:rsid w:val="3C451D98"/>
    <w:rsid w:val="3C560909"/>
    <w:rsid w:val="3C6B5003"/>
    <w:rsid w:val="3C9A24BC"/>
    <w:rsid w:val="3D4F764A"/>
    <w:rsid w:val="3DB75A22"/>
    <w:rsid w:val="3DC92929"/>
    <w:rsid w:val="3DD63172"/>
    <w:rsid w:val="3E1D2741"/>
    <w:rsid w:val="3E6F6976"/>
    <w:rsid w:val="3E756837"/>
    <w:rsid w:val="3EBB1FF4"/>
    <w:rsid w:val="3EF67D35"/>
    <w:rsid w:val="3FF70D21"/>
    <w:rsid w:val="4006496B"/>
    <w:rsid w:val="400F7E51"/>
    <w:rsid w:val="40A83FD8"/>
    <w:rsid w:val="40F92F74"/>
    <w:rsid w:val="40FC10D6"/>
    <w:rsid w:val="40FD7809"/>
    <w:rsid w:val="41211069"/>
    <w:rsid w:val="41B9303F"/>
    <w:rsid w:val="421A0084"/>
    <w:rsid w:val="4277622A"/>
    <w:rsid w:val="42A4367B"/>
    <w:rsid w:val="43D51024"/>
    <w:rsid w:val="43EE1E70"/>
    <w:rsid w:val="443F24CC"/>
    <w:rsid w:val="448E5EBA"/>
    <w:rsid w:val="45915E93"/>
    <w:rsid w:val="45F501DE"/>
    <w:rsid w:val="466057C1"/>
    <w:rsid w:val="46F01CD0"/>
    <w:rsid w:val="47757DBC"/>
    <w:rsid w:val="478A40C8"/>
    <w:rsid w:val="48DF3F81"/>
    <w:rsid w:val="491B7A75"/>
    <w:rsid w:val="49503526"/>
    <w:rsid w:val="49D67D49"/>
    <w:rsid w:val="49E63408"/>
    <w:rsid w:val="4A527C00"/>
    <w:rsid w:val="4A536424"/>
    <w:rsid w:val="4B412AE3"/>
    <w:rsid w:val="4B5551FE"/>
    <w:rsid w:val="4B7C38B0"/>
    <w:rsid w:val="4BDE1101"/>
    <w:rsid w:val="4C896181"/>
    <w:rsid w:val="4CB8703D"/>
    <w:rsid w:val="4CC01D6C"/>
    <w:rsid w:val="4CCD018F"/>
    <w:rsid w:val="4CDE47F9"/>
    <w:rsid w:val="4CE0489B"/>
    <w:rsid w:val="4CF51DF5"/>
    <w:rsid w:val="4D2142A6"/>
    <w:rsid w:val="4D364E6E"/>
    <w:rsid w:val="4D386C39"/>
    <w:rsid w:val="4D570E5F"/>
    <w:rsid w:val="4D7D03C0"/>
    <w:rsid w:val="4DB91131"/>
    <w:rsid w:val="4DF66884"/>
    <w:rsid w:val="4E201790"/>
    <w:rsid w:val="4E4F2DEE"/>
    <w:rsid w:val="4E6C595B"/>
    <w:rsid w:val="4E970166"/>
    <w:rsid w:val="4EA60046"/>
    <w:rsid w:val="4EB33F1F"/>
    <w:rsid w:val="4ECB0E9F"/>
    <w:rsid w:val="4F5077E0"/>
    <w:rsid w:val="4F6170A8"/>
    <w:rsid w:val="4FA84961"/>
    <w:rsid w:val="502020BF"/>
    <w:rsid w:val="508D2E67"/>
    <w:rsid w:val="5099729D"/>
    <w:rsid w:val="50A25E34"/>
    <w:rsid w:val="50AA1262"/>
    <w:rsid w:val="50BF1B3F"/>
    <w:rsid w:val="50E27FE5"/>
    <w:rsid w:val="51992BBE"/>
    <w:rsid w:val="51AE2D30"/>
    <w:rsid w:val="51BA28A4"/>
    <w:rsid w:val="51CB2DDC"/>
    <w:rsid w:val="52660ED2"/>
    <w:rsid w:val="52880E42"/>
    <w:rsid w:val="52CF1636"/>
    <w:rsid w:val="535C2BF9"/>
    <w:rsid w:val="5400054E"/>
    <w:rsid w:val="54993E0B"/>
    <w:rsid w:val="54B9187E"/>
    <w:rsid w:val="551F65CE"/>
    <w:rsid w:val="55441CDF"/>
    <w:rsid w:val="554941A1"/>
    <w:rsid w:val="557553AC"/>
    <w:rsid w:val="55C1078B"/>
    <w:rsid w:val="561F078C"/>
    <w:rsid w:val="567E2513"/>
    <w:rsid w:val="569C3D45"/>
    <w:rsid w:val="56DC3F96"/>
    <w:rsid w:val="57103E80"/>
    <w:rsid w:val="573B1325"/>
    <w:rsid w:val="574007E8"/>
    <w:rsid w:val="575964D5"/>
    <w:rsid w:val="576F199B"/>
    <w:rsid w:val="579236D7"/>
    <w:rsid w:val="57BE7E02"/>
    <w:rsid w:val="57CB54F2"/>
    <w:rsid w:val="580C5337"/>
    <w:rsid w:val="5842554B"/>
    <w:rsid w:val="58795D9A"/>
    <w:rsid w:val="58811AE1"/>
    <w:rsid w:val="58A66AA2"/>
    <w:rsid w:val="59255811"/>
    <w:rsid w:val="592D4286"/>
    <w:rsid w:val="59B07BDD"/>
    <w:rsid w:val="5A303046"/>
    <w:rsid w:val="5A754247"/>
    <w:rsid w:val="5AD91DBF"/>
    <w:rsid w:val="5BEB775E"/>
    <w:rsid w:val="5C466357"/>
    <w:rsid w:val="5C51500C"/>
    <w:rsid w:val="5CD93D06"/>
    <w:rsid w:val="5CE965F9"/>
    <w:rsid w:val="5D46678E"/>
    <w:rsid w:val="5D607CD4"/>
    <w:rsid w:val="5D83414E"/>
    <w:rsid w:val="5D8E5FA3"/>
    <w:rsid w:val="5D913D70"/>
    <w:rsid w:val="5D955B18"/>
    <w:rsid w:val="5DF532B2"/>
    <w:rsid w:val="5EA20C35"/>
    <w:rsid w:val="5F3117D1"/>
    <w:rsid w:val="5F491ECC"/>
    <w:rsid w:val="5F773E0F"/>
    <w:rsid w:val="5FD64BA1"/>
    <w:rsid w:val="606A064E"/>
    <w:rsid w:val="60B13F31"/>
    <w:rsid w:val="60CF053B"/>
    <w:rsid w:val="60F648DD"/>
    <w:rsid w:val="610A1D8E"/>
    <w:rsid w:val="615264A9"/>
    <w:rsid w:val="616809A0"/>
    <w:rsid w:val="616E03D4"/>
    <w:rsid w:val="620A534C"/>
    <w:rsid w:val="626F0D48"/>
    <w:rsid w:val="6278016A"/>
    <w:rsid w:val="627B2FCB"/>
    <w:rsid w:val="62DF7A41"/>
    <w:rsid w:val="63383418"/>
    <w:rsid w:val="63DC0640"/>
    <w:rsid w:val="646C3567"/>
    <w:rsid w:val="649E26B3"/>
    <w:rsid w:val="64A75C2B"/>
    <w:rsid w:val="64A77647"/>
    <w:rsid w:val="64C04C45"/>
    <w:rsid w:val="64C949C3"/>
    <w:rsid w:val="64EC35A4"/>
    <w:rsid w:val="64FD4DB3"/>
    <w:rsid w:val="64FD724C"/>
    <w:rsid w:val="65300987"/>
    <w:rsid w:val="655B71E0"/>
    <w:rsid w:val="65686B47"/>
    <w:rsid w:val="657746B7"/>
    <w:rsid w:val="65CF3335"/>
    <w:rsid w:val="65F42E46"/>
    <w:rsid w:val="661310A4"/>
    <w:rsid w:val="66643435"/>
    <w:rsid w:val="66761E3B"/>
    <w:rsid w:val="66783E62"/>
    <w:rsid w:val="668D1D77"/>
    <w:rsid w:val="66D0669C"/>
    <w:rsid w:val="681955B9"/>
    <w:rsid w:val="68236B80"/>
    <w:rsid w:val="685E739E"/>
    <w:rsid w:val="68825D33"/>
    <w:rsid w:val="68C31AB6"/>
    <w:rsid w:val="68DB7191"/>
    <w:rsid w:val="68F91931"/>
    <w:rsid w:val="68FA3AF9"/>
    <w:rsid w:val="69531667"/>
    <w:rsid w:val="69766891"/>
    <w:rsid w:val="697B7F78"/>
    <w:rsid w:val="697E27C4"/>
    <w:rsid w:val="69DA6682"/>
    <w:rsid w:val="6A0F13BF"/>
    <w:rsid w:val="6A102C1D"/>
    <w:rsid w:val="6A992CC1"/>
    <w:rsid w:val="6ACD3ECF"/>
    <w:rsid w:val="6AD364FE"/>
    <w:rsid w:val="6B3706CD"/>
    <w:rsid w:val="6B8765F4"/>
    <w:rsid w:val="6D0A2FE8"/>
    <w:rsid w:val="6D1B6262"/>
    <w:rsid w:val="6D5259E7"/>
    <w:rsid w:val="6D607146"/>
    <w:rsid w:val="6E3579D2"/>
    <w:rsid w:val="6E5D4E27"/>
    <w:rsid w:val="6EB274D0"/>
    <w:rsid w:val="6ECB3813"/>
    <w:rsid w:val="6ECC0498"/>
    <w:rsid w:val="6F4251EF"/>
    <w:rsid w:val="6F4D3EBE"/>
    <w:rsid w:val="6F7402E4"/>
    <w:rsid w:val="6FAF23B0"/>
    <w:rsid w:val="6FBD7C24"/>
    <w:rsid w:val="6FC23908"/>
    <w:rsid w:val="701C0FD7"/>
    <w:rsid w:val="713745FC"/>
    <w:rsid w:val="71374941"/>
    <w:rsid w:val="71463D7F"/>
    <w:rsid w:val="71553F18"/>
    <w:rsid w:val="7158742E"/>
    <w:rsid w:val="72224CC6"/>
    <w:rsid w:val="722F0F65"/>
    <w:rsid w:val="723C677C"/>
    <w:rsid w:val="72D7223C"/>
    <w:rsid w:val="732B1FDC"/>
    <w:rsid w:val="7331576A"/>
    <w:rsid w:val="73CF6F08"/>
    <w:rsid w:val="74896CA8"/>
    <w:rsid w:val="74AC77DC"/>
    <w:rsid w:val="74C62038"/>
    <w:rsid w:val="7516601F"/>
    <w:rsid w:val="75432F67"/>
    <w:rsid w:val="75D23936"/>
    <w:rsid w:val="75EA7A61"/>
    <w:rsid w:val="76091906"/>
    <w:rsid w:val="76407FE1"/>
    <w:rsid w:val="7658035B"/>
    <w:rsid w:val="7683038C"/>
    <w:rsid w:val="768B3155"/>
    <w:rsid w:val="76992F47"/>
    <w:rsid w:val="76F823BC"/>
    <w:rsid w:val="771F2001"/>
    <w:rsid w:val="7730303C"/>
    <w:rsid w:val="77563FB0"/>
    <w:rsid w:val="777612C0"/>
    <w:rsid w:val="77C03366"/>
    <w:rsid w:val="78DF103A"/>
    <w:rsid w:val="7A36565A"/>
    <w:rsid w:val="7A474C46"/>
    <w:rsid w:val="7A86275A"/>
    <w:rsid w:val="7A8818FE"/>
    <w:rsid w:val="7AB0675E"/>
    <w:rsid w:val="7AD068E0"/>
    <w:rsid w:val="7B3214F9"/>
    <w:rsid w:val="7B7D4DFE"/>
    <w:rsid w:val="7B8E5F47"/>
    <w:rsid w:val="7B9E7D8F"/>
    <w:rsid w:val="7BCB6E63"/>
    <w:rsid w:val="7BDF1AB5"/>
    <w:rsid w:val="7C571398"/>
    <w:rsid w:val="7D3214AD"/>
    <w:rsid w:val="7D79772E"/>
    <w:rsid w:val="7D863E8A"/>
    <w:rsid w:val="7DE16FAE"/>
    <w:rsid w:val="7DF27445"/>
    <w:rsid w:val="7E01187E"/>
    <w:rsid w:val="7E173E83"/>
    <w:rsid w:val="7E5D4AA1"/>
    <w:rsid w:val="7E782EA2"/>
    <w:rsid w:val="7F4856DE"/>
    <w:rsid w:val="7F887AD5"/>
    <w:rsid w:val="7FA902B2"/>
    <w:rsid w:val="7FBC3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2017-04-01T03:15:00Z</dcterms:created>
  <dc:creator>null,null,预算公开</dc:creator>
  <cp:lastModifiedBy>Administrator</cp:lastModifiedBy>
  <cp:lastPrinted>2020-05-25T07:14:00Z</cp:lastPrinted>
  <dcterms:modified xsi:type="dcterms:W3CDTF">2021-05-19T11:18:19Z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