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2019年度地方政府债务情况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我区认真贯彻落实债务工作的管理要求，严防债务风险，</w:t>
      </w:r>
      <w:r>
        <w:rPr>
          <w:rFonts w:hint="default" w:ascii="Times New Roman" w:hAnsi="Times New Roman" w:eastAsia="仿宋" w:cs="Times New Roman"/>
          <w:color w:val="auto"/>
          <w:sz w:val="32"/>
        </w:rPr>
        <w:t>做到举债合规、程序透明、规模适度、风险可控</w:t>
      </w:r>
      <w:r>
        <w:rPr>
          <w:rFonts w:hint="default" w:ascii="Times New Roman" w:hAnsi="Times New Roman" w:eastAsia="仿宋" w:cs="Times New Roman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lang w:eastAsia="zh-CN"/>
        </w:rPr>
        <w:t>全区政府债务情况：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1、2018年，核定我区政府债务限额为41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333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万元（其中，一般债务38000万元，专项债务33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33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万元）。截至2018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年底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，全区政府债务余额为36297万元（一般债务33297万元，专项债务3000万元），未超出限额。</w:t>
      </w:r>
    </w:p>
    <w:tbl>
      <w:tblPr>
        <w:tblStyle w:val="2"/>
        <w:tblpPr w:leftFromText="180" w:rightFromText="180" w:vertAnchor="text" w:horzAnchor="page" w:tblpX="634" w:tblpY="243"/>
        <w:tblOverlap w:val="never"/>
        <w:tblW w:w="101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997"/>
        <w:gridCol w:w="1020"/>
        <w:gridCol w:w="1020"/>
        <w:gridCol w:w="1006"/>
        <w:gridCol w:w="641"/>
        <w:gridCol w:w="641"/>
        <w:gridCol w:w="641"/>
        <w:gridCol w:w="641"/>
        <w:gridCol w:w="641"/>
        <w:gridCol w:w="641"/>
        <w:gridCol w:w="641"/>
        <w:gridCol w:w="6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2018年度限额表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1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地区名称</w:t>
            </w:r>
          </w:p>
        </w:tc>
        <w:tc>
          <w:tcPr>
            <w:tcW w:w="3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债务总限额</w:t>
            </w:r>
          </w:p>
        </w:tc>
        <w:tc>
          <w:tcPr>
            <w:tcW w:w="51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新增债务限额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一般债务总限额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专项债务总限额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新增一般债务限额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其中：新增外债限额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新增专项债务限额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新增土地储备专项债务限额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新增收费公路专项债务限额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新增棚改专项债务限额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新增其他专项债务限额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上党区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41,333.33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38,000.00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3,333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.33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2、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2018年地方政府置换债券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10180.8万元，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还本付息11149950.85元（其中包括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再融资债券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416.32万元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）。</w:t>
      </w:r>
    </w:p>
    <w:tbl>
      <w:tblPr>
        <w:tblStyle w:val="2"/>
        <w:tblpPr w:leftFromText="180" w:rightFromText="180" w:vertAnchor="text" w:horzAnchor="page" w:tblpX="1439" w:tblpY="692"/>
        <w:tblOverlap w:val="never"/>
        <w:tblW w:w="94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3600"/>
        <w:gridCol w:w="1365"/>
        <w:gridCol w:w="975"/>
        <w:gridCol w:w="1140"/>
        <w:gridCol w:w="14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2018年地方政府债券还本付息明细表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债券编码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债券名称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债券类型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还款类型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还款日期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本次还款金额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11,149,950.85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2018年山西省政府一般债券（六期）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315,766.40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2015年山西省政府一般债券（五期）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2015年山西省政府一般债券（五期）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4,163,200.00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2017年山西省政府一般债券（十期）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2015年山西省政府一般债券（八期）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372,096.00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2015年山西省政府一般债券（六期）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1,060,992.00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2015年山西省政府一般债券（七期）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1,116,288.00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2015年山西省政府一般债券（五期）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119,484.56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2016年山西省政府一般债券（四期）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54,515.76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2017年山西省政府一般债券（七期）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1,163,280.00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2016年山西省政府一般债券（九期）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2016年山西省政府专项债券（三期）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普通专项债券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2017年山西省政府一般债券（十期）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2015年山西省政府一般债券（八期）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372,096.00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2016年山西省政府一般债券（一期）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28,307.07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2016年山西省政府一般债券（三期）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86,783.56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2016年山西省政府一般债券（二期）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77,173.30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2016年山西省政府一般债券（四期）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54,515.76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2017年山西省政府一般债券（七期）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1,163,280.00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3、2019年度地方政府债券还本付息预算3518万元。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4、2019年度无提前下达债券。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05849"/>
    <w:rsid w:val="06242327"/>
    <w:rsid w:val="0BDF230F"/>
    <w:rsid w:val="0EA8663D"/>
    <w:rsid w:val="1285649B"/>
    <w:rsid w:val="1871774B"/>
    <w:rsid w:val="1C2D76D7"/>
    <w:rsid w:val="1C7046A1"/>
    <w:rsid w:val="231229E9"/>
    <w:rsid w:val="25C67483"/>
    <w:rsid w:val="2CF56532"/>
    <w:rsid w:val="39B2756A"/>
    <w:rsid w:val="3E4F28AE"/>
    <w:rsid w:val="45FF0725"/>
    <w:rsid w:val="474D5DCC"/>
    <w:rsid w:val="495B005D"/>
    <w:rsid w:val="55D3111C"/>
    <w:rsid w:val="57143D5E"/>
    <w:rsid w:val="58366B2D"/>
    <w:rsid w:val="5C412E4F"/>
    <w:rsid w:val="5CA8191C"/>
    <w:rsid w:val="5E201992"/>
    <w:rsid w:val="5FE717B9"/>
    <w:rsid w:val="695E3A2F"/>
    <w:rsid w:val="6BE65D54"/>
    <w:rsid w:val="6BEB6DDB"/>
    <w:rsid w:val="70700A82"/>
    <w:rsid w:val="731133FF"/>
    <w:rsid w:val="73696C7B"/>
    <w:rsid w:val="77485E3E"/>
    <w:rsid w:val="78A14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2021-05-19T07:43:00Z</cp:lastPrinted>
  <dcterms:modified xsi:type="dcterms:W3CDTF">2021-05-24T10:26:29Z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