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891" w:rsidRDefault="007B7891">
      <w:pPr>
        <w:ind w:firstLineChars="0" w:firstLine="0"/>
      </w:pPr>
    </w:p>
    <w:p w:rsidR="007B7891" w:rsidRDefault="007B7891">
      <w:pPr>
        <w:ind w:firstLineChars="0" w:firstLine="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长治市上党区政府投资基金管理办法</w:t>
      </w:r>
      <w:r>
        <w:rPr>
          <w:rFonts w:ascii="方正小标宋简体" w:eastAsia="方正小标宋简体" w:hAnsi="方正小标宋简体" w:cs="方正小标宋简体"/>
          <w:sz w:val="44"/>
          <w:szCs w:val="44"/>
        </w:rPr>
        <w:t>(</w:t>
      </w:r>
      <w:r>
        <w:rPr>
          <w:rFonts w:ascii="方正小标宋简体" w:eastAsia="方正小标宋简体" w:hAnsi="方正小标宋简体" w:cs="方正小标宋简体" w:hint="eastAsia"/>
          <w:sz w:val="44"/>
          <w:szCs w:val="44"/>
        </w:rPr>
        <w:t>试行</w:t>
      </w:r>
      <w:r>
        <w:rPr>
          <w:rFonts w:ascii="方正小标宋简体" w:eastAsia="方正小标宋简体" w:hAnsi="方正小标宋简体" w:cs="方正小标宋简体"/>
          <w:sz w:val="44"/>
          <w:szCs w:val="44"/>
        </w:rPr>
        <w:t>)</w:t>
      </w:r>
    </w:p>
    <w:p w:rsidR="007B7891" w:rsidRDefault="007B7891">
      <w:pPr>
        <w:ind w:firstLineChars="0" w:firstLine="0"/>
        <w:jc w:val="center"/>
      </w:pPr>
      <w:r>
        <w:rPr>
          <w:rFonts w:hint="eastAsia"/>
        </w:rPr>
        <w:t>（征求意见稿</w:t>
      </w:r>
      <w:bookmarkStart w:id="0" w:name="_GoBack"/>
      <w:bookmarkEnd w:id="0"/>
      <w:r>
        <w:rPr>
          <w:rFonts w:hint="eastAsia"/>
        </w:rPr>
        <w:t>）</w:t>
      </w:r>
    </w:p>
    <w:p w:rsidR="007B7891" w:rsidRDefault="007B7891">
      <w:pPr>
        <w:ind w:firstLineChars="0" w:firstLine="0"/>
        <w:jc w:val="center"/>
      </w:pPr>
    </w:p>
    <w:p w:rsidR="007B7891" w:rsidRDefault="007B7891">
      <w:pPr>
        <w:ind w:firstLineChars="0" w:firstLine="0"/>
        <w:jc w:val="center"/>
        <w:rPr>
          <w:rFonts w:ascii="黑体" w:eastAsia="黑体" w:hAnsi="黑体" w:cs="黑体"/>
        </w:rPr>
      </w:pPr>
      <w:r>
        <w:rPr>
          <w:rFonts w:ascii="黑体" w:eastAsia="黑体" w:hAnsi="黑体" w:cs="黑体" w:hint="eastAsia"/>
        </w:rPr>
        <w:t>第一章</w:t>
      </w:r>
      <w:r>
        <w:rPr>
          <w:rFonts w:ascii="黑体" w:eastAsia="黑体" w:hAnsi="黑体" w:cs="黑体"/>
        </w:rPr>
        <w:t xml:space="preserve">  </w:t>
      </w:r>
      <w:r>
        <w:rPr>
          <w:rFonts w:ascii="黑体" w:eastAsia="黑体" w:hAnsi="黑体" w:cs="黑体" w:hint="eastAsia"/>
        </w:rPr>
        <w:t>总</w:t>
      </w:r>
      <w:r>
        <w:rPr>
          <w:rFonts w:ascii="黑体" w:eastAsia="黑体" w:hAnsi="黑体" w:cs="黑体"/>
        </w:rPr>
        <w:t xml:space="preserve"> </w:t>
      </w:r>
      <w:r>
        <w:rPr>
          <w:rFonts w:ascii="黑体" w:eastAsia="黑体" w:hAnsi="黑体" w:cs="黑体" w:hint="eastAsia"/>
        </w:rPr>
        <w:t>则</w:t>
      </w:r>
    </w:p>
    <w:p w:rsidR="007B7891" w:rsidRDefault="007B7891">
      <w:pPr>
        <w:ind w:firstLineChars="0" w:firstLine="0"/>
      </w:pPr>
    </w:p>
    <w:p w:rsidR="007B7891" w:rsidRDefault="007B7891" w:rsidP="00783FEB">
      <w:pPr>
        <w:spacing w:line="580" w:lineRule="exact"/>
        <w:ind w:firstLine="31680"/>
      </w:pPr>
      <w:r>
        <w:rPr>
          <w:rFonts w:ascii="黑体" w:eastAsia="黑体" w:hAnsi="黑体" w:cs="黑体" w:hint="eastAsia"/>
        </w:rPr>
        <w:t>第一条</w:t>
      </w:r>
      <w:r>
        <w:t xml:space="preserve">  </w:t>
      </w:r>
      <w:r>
        <w:rPr>
          <w:rFonts w:hint="eastAsia"/>
        </w:rPr>
        <w:t>为贯彻落实区委、区政府决策部署，发挥政府资金引导作用，提高政府资金使用效益，促进政府投资基金持续健康运行，根据有关法律法规及政策文件，结合我区实际，制定本办法。</w:t>
      </w:r>
    </w:p>
    <w:p w:rsidR="007B7891" w:rsidRDefault="007B7891" w:rsidP="00783FEB">
      <w:pPr>
        <w:spacing w:line="580" w:lineRule="exact"/>
        <w:ind w:firstLine="31680"/>
      </w:pPr>
      <w:r>
        <w:rPr>
          <w:rFonts w:ascii="黑体" w:eastAsia="黑体" w:hAnsi="黑体" w:cs="黑体" w:hint="eastAsia"/>
        </w:rPr>
        <w:t>第二条</w:t>
      </w:r>
      <w:r>
        <w:t xml:space="preserve">  </w:t>
      </w:r>
      <w:r>
        <w:rPr>
          <w:rFonts w:hint="eastAsia"/>
        </w:rPr>
        <w:t>本办法所称长治市上党区政府投资基金（以下简称“政府投资基金”），是指由上党区政府出资发起设立、并按市场化方式运行的基金。</w:t>
      </w:r>
    </w:p>
    <w:p w:rsidR="007B7891" w:rsidRDefault="007B7891" w:rsidP="00783FEB">
      <w:pPr>
        <w:spacing w:line="580" w:lineRule="exact"/>
        <w:ind w:firstLine="31680"/>
      </w:pPr>
      <w:r>
        <w:rPr>
          <w:rFonts w:ascii="黑体" w:eastAsia="黑体" w:hAnsi="黑体" w:cs="黑体" w:hint="eastAsia"/>
        </w:rPr>
        <w:t>第三条</w:t>
      </w:r>
      <w:r>
        <w:t xml:space="preserve">  </w:t>
      </w:r>
      <w:r>
        <w:rPr>
          <w:rFonts w:hint="eastAsia"/>
        </w:rPr>
        <w:t>政府投资基金的资金来源为政府出资及社会募集。其中：政府出资主要包括通过一般公共预算、政府性基金预算、国有资本经营预算等安排的资金、其他政府性资金，以及政府投资基金运行中产生的收益等。</w:t>
      </w:r>
    </w:p>
    <w:p w:rsidR="007B7891" w:rsidRDefault="007B7891" w:rsidP="00783FEB">
      <w:pPr>
        <w:spacing w:line="580" w:lineRule="exact"/>
        <w:ind w:firstLine="31680"/>
      </w:pPr>
      <w:r>
        <w:rPr>
          <w:rFonts w:ascii="黑体" w:eastAsia="黑体" w:hAnsi="黑体" w:cs="黑体" w:hint="eastAsia"/>
        </w:rPr>
        <w:t>第四条</w:t>
      </w:r>
      <w:r>
        <w:t xml:space="preserve">  </w:t>
      </w:r>
      <w:r>
        <w:rPr>
          <w:rFonts w:hint="eastAsia"/>
        </w:rPr>
        <w:t>区级财政根据政府投资基金方案确定出资额，将政府出资纳入年度预算。现有财政资金实现的收益及退出资金，原则上继续用于补充政府投资基金，实现滚动发展。对于纳入公司注册资本金的财政资金和对应收益按照《公司法》的有关规定执行。</w:t>
      </w:r>
    </w:p>
    <w:p w:rsidR="007B7891" w:rsidRDefault="007B7891" w:rsidP="00783FEB">
      <w:pPr>
        <w:spacing w:line="580" w:lineRule="exact"/>
        <w:ind w:firstLine="31680"/>
      </w:pPr>
      <w:r>
        <w:rPr>
          <w:rFonts w:ascii="黑体" w:eastAsia="黑体" w:hAnsi="黑体" w:cs="黑体" w:hint="eastAsia"/>
        </w:rPr>
        <w:t>第五条</w:t>
      </w:r>
      <w:r>
        <w:t xml:space="preserve">  </w:t>
      </w:r>
      <w:r>
        <w:rPr>
          <w:rFonts w:hint="eastAsia"/>
        </w:rPr>
        <w:t>政府投资基金按照“政府引导、市场运作，科学决策、专业管理、防范风险”的原则运作。</w:t>
      </w:r>
    </w:p>
    <w:p w:rsidR="007B7891" w:rsidRDefault="007B7891" w:rsidP="00783FEB">
      <w:pPr>
        <w:spacing w:line="580" w:lineRule="exact"/>
        <w:ind w:firstLine="31680"/>
      </w:pPr>
      <w:r>
        <w:rPr>
          <w:rFonts w:ascii="黑体" w:eastAsia="黑体" w:hAnsi="黑体" w:cs="黑体" w:hint="eastAsia"/>
        </w:rPr>
        <w:t>第六条</w:t>
      </w:r>
      <w:r>
        <w:t xml:space="preserve">  </w:t>
      </w:r>
      <w:r>
        <w:rPr>
          <w:rFonts w:hint="eastAsia"/>
        </w:rPr>
        <w:t>政府投资基金运作应当以政策效果为首要目标，结合实际，坚持贯彻落实国家、省、市、区级党委、政府决策部署。支持重点区域和重要领域发展的政策导向，避免片面追求投资收益或对社会投资产生挤出效应，实行科学的运营管理、收益分配、利益让渡等机制。</w:t>
      </w:r>
    </w:p>
    <w:p w:rsidR="007B7891" w:rsidRDefault="007B7891">
      <w:pPr>
        <w:ind w:firstLineChars="0" w:firstLine="0"/>
      </w:pPr>
    </w:p>
    <w:p w:rsidR="007B7891" w:rsidRDefault="007B7891">
      <w:pPr>
        <w:ind w:firstLineChars="0" w:firstLine="0"/>
        <w:jc w:val="center"/>
        <w:rPr>
          <w:rFonts w:ascii="黑体" w:eastAsia="黑体" w:hAnsi="黑体" w:cs="黑体"/>
        </w:rPr>
      </w:pPr>
      <w:r>
        <w:rPr>
          <w:rFonts w:ascii="黑体" w:eastAsia="黑体" w:hAnsi="黑体" w:cs="黑体" w:hint="eastAsia"/>
        </w:rPr>
        <w:t>第二章</w:t>
      </w:r>
      <w:r>
        <w:rPr>
          <w:rFonts w:ascii="黑体" w:eastAsia="黑体" w:hAnsi="黑体" w:cs="黑体"/>
        </w:rPr>
        <w:t xml:space="preserve">  </w:t>
      </w:r>
      <w:r>
        <w:rPr>
          <w:rFonts w:ascii="黑体" w:eastAsia="黑体" w:hAnsi="黑体" w:cs="黑体" w:hint="eastAsia"/>
        </w:rPr>
        <w:t>政府投资基金的设立</w:t>
      </w:r>
    </w:p>
    <w:p w:rsidR="007B7891" w:rsidRDefault="007B7891">
      <w:pPr>
        <w:ind w:firstLineChars="0" w:firstLine="0"/>
      </w:pPr>
    </w:p>
    <w:p w:rsidR="007B7891" w:rsidRDefault="007B7891" w:rsidP="00783FEB">
      <w:pPr>
        <w:spacing w:line="580" w:lineRule="exact"/>
        <w:ind w:firstLine="31680"/>
      </w:pPr>
      <w:r>
        <w:rPr>
          <w:rFonts w:ascii="黑体" w:eastAsia="黑体" w:hAnsi="黑体" w:cs="黑体" w:hint="eastAsia"/>
        </w:rPr>
        <w:t>第七条</w:t>
      </w:r>
      <w:r>
        <w:t xml:space="preserve">  </w:t>
      </w:r>
      <w:r>
        <w:rPr>
          <w:rFonts w:hint="eastAsia"/>
        </w:rPr>
        <w:t>政府投资基金主要采用“母子基金”运作模式，通过设立专项子基金、市场化子基金开展投资业务。</w:t>
      </w:r>
    </w:p>
    <w:p w:rsidR="007B7891" w:rsidRDefault="007B7891" w:rsidP="00783FEB">
      <w:pPr>
        <w:spacing w:line="580" w:lineRule="exact"/>
        <w:ind w:firstLine="31680"/>
      </w:pPr>
      <w:r>
        <w:rPr>
          <w:rFonts w:ascii="黑体" w:eastAsia="黑体" w:hAnsi="黑体" w:cs="黑体" w:hint="eastAsia"/>
        </w:rPr>
        <w:t>第八条</w:t>
      </w:r>
      <w:r>
        <w:t xml:space="preserve">  </w:t>
      </w:r>
      <w:r>
        <w:rPr>
          <w:rFonts w:hint="eastAsia"/>
        </w:rPr>
        <w:t>专项子基金按照部门提议、科学论证、政府决策的程序设立。</w:t>
      </w:r>
    </w:p>
    <w:p w:rsidR="007B7891" w:rsidRDefault="007B7891" w:rsidP="00783FEB">
      <w:pPr>
        <w:spacing w:line="580" w:lineRule="exact"/>
        <w:ind w:firstLine="31680"/>
      </w:pPr>
      <w:r>
        <w:rPr>
          <w:rFonts w:ascii="黑体" w:eastAsia="黑体" w:hAnsi="黑体" w:cs="黑体" w:hint="eastAsia"/>
        </w:rPr>
        <w:t>第九条</w:t>
      </w:r>
      <w:r>
        <w:t xml:space="preserve">  </w:t>
      </w:r>
      <w:r>
        <w:rPr>
          <w:rFonts w:hint="eastAsia"/>
        </w:rPr>
        <w:t>区政府相关单位、区政府指定的国有投资平台公司根据区政府及上级政府统一安排部署，提出设立专项子基金的建议，征求市、区相关单位意见后，按相关规定批准设立。</w:t>
      </w:r>
    </w:p>
    <w:p w:rsidR="007B7891" w:rsidRDefault="007B7891" w:rsidP="00783FEB">
      <w:pPr>
        <w:spacing w:line="580" w:lineRule="exact"/>
        <w:ind w:firstLine="31680"/>
      </w:pPr>
      <w:r>
        <w:rPr>
          <w:rFonts w:ascii="黑体" w:eastAsia="黑体" w:hAnsi="黑体" w:cs="黑体" w:hint="eastAsia"/>
        </w:rPr>
        <w:t>第十条</w:t>
      </w:r>
      <w:r>
        <w:t xml:space="preserve">  </w:t>
      </w:r>
      <w:r>
        <w:rPr>
          <w:rFonts w:hint="eastAsia"/>
        </w:rPr>
        <w:t>专项子基金主要投资方向：</w:t>
      </w:r>
    </w:p>
    <w:p w:rsidR="007B7891" w:rsidRDefault="007B7891" w:rsidP="00783FEB">
      <w:pPr>
        <w:spacing w:line="580" w:lineRule="exact"/>
        <w:ind w:firstLine="31680"/>
      </w:pPr>
      <w:r>
        <w:rPr>
          <w:rFonts w:hint="eastAsia"/>
        </w:rPr>
        <w:t>（一）落实国家及省、市、区重大发展战略和规划；</w:t>
      </w:r>
    </w:p>
    <w:p w:rsidR="007B7891" w:rsidRDefault="007B7891" w:rsidP="00783FEB">
      <w:pPr>
        <w:spacing w:line="580" w:lineRule="exact"/>
        <w:ind w:firstLine="31680"/>
      </w:pPr>
      <w:r>
        <w:rPr>
          <w:rFonts w:hint="eastAsia"/>
        </w:rPr>
        <w:t>（二）区委、区政府确定的重大项目；</w:t>
      </w:r>
    </w:p>
    <w:p w:rsidR="007B7891" w:rsidRDefault="007B7891" w:rsidP="00783FEB">
      <w:pPr>
        <w:spacing w:line="580" w:lineRule="exact"/>
        <w:ind w:firstLine="31680"/>
      </w:pPr>
      <w:r>
        <w:rPr>
          <w:rFonts w:hint="eastAsia"/>
        </w:rPr>
        <w:t>（三）配合、参与重要的省、市投资基金；</w:t>
      </w:r>
    </w:p>
    <w:p w:rsidR="007B7891" w:rsidRDefault="007B7891" w:rsidP="00783FEB">
      <w:pPr>
        <w:spacing w:line="580" w:lineRule="exact"/>
        <w:ind w:firstLine="31680"/>
      </w:pPr>
      <w:r>
        <w:rPr>
          <w:rFonts w:hint="eastAsia"/>
        </w:rPr>
        <w:t>（四）其他关乎全区高质量转型发展的关键节点或重点领域。</w:t>
      </w:r>
    </w:p>
    <w:p w:rsidR="007B7891" w:rsidRDefault="007B7891" w:rsidP="00783FEB">
      <w:pPr>
        <w:spacing w:line="580" w:lineRule="exact"/>
        <w:ind w:firstLine="31680"/>
      </w:pPr>
      <w:r>
        <w:rPr>
          <w:rFonts w:ascii="黑体" w:eastAsia="黑体" w:hAnsi="黑体" w:cs="黑体" w:hint="eastAsia"/>
        </w:rPr>
        <w:t>第十一条</w:t>
      </w:r>
      <w:r>
        <w:t xml:space="preserve">  </w:t>
      </w:r>
      <w:r>
        <w:rPr>
          <w:rFonts w:hint="eastAsia"/>
        </w:rPr>
        <w:t>市场化子基金经由政府投资基金管理人依据实际需求设立。市场化子基金应当广泛募集社会资本，积极争取中央、省、市等资金、吸引其他市、区、县政府开展联动投资，充分发挥政府出资的引导作用，共同撬动社会资本，扩大财政资金投资效用。</w:t>
      </w:r>
    </w:p>
    <w:p w:rsidR="007B7891" w:rsidRDefault="007B7891" w:rsidP="00783FEB">
      <w:pPr>
        <w:spacing w:line="580" w:lineRule="exact"/>
        <w:ind w:firstLine="31680"/>
      </w:pPr>
      <w:r>
        <w:rPr>
          <w:rFonts w:ascii="黑体" w:eastAsia="黑体" w:hAnsi="黑体" w:cs="黑体" w:hint="eastAsia"/>
        </w:rPr>
        <w:t>第十二条</w:t>
      </w:r>
      <w:r>
        <w:t xml:space="preserve">  </w:t>
      </w:r>
      <w:r>
        <w:rPr>
          <w:rFonts w:hint="eastAsia"/>
        </w:rPr>
        <w:t>政府投资基金采用有限合伙制组织形式。</w:t>
      </w:r>
    </w:p>
    <w:p w:rsidR="007B7891" w:rsidRDefault="007B7891" w:rsidP="00783FEB">
      <w:pPr>
        <w:spacing w:line="580" w:lineRule="exact"/>
        <w:ind w:firstLine="31680"/>
      </w:pPr>
      <w:r>
        <w:rPr>
          <w:rFonts w:ascii="黑体" w:eastAsia="黑体" w:hAnsi="黑体" w:cs="黑体" w:hint="eastAsia"/>
        </w:rPr>
        <w:t>第十三条</w:t>
      </w:r>
      <w:r>
        <w:t xml:space="preserve">  </w:t>
      </w:r>
      <w:r>
        <w:rPr>
          <w:rFonts w:hint="eastAsia"/>
        </w:rPr>
        <w:t>区政府层面原则上不再新设政府投资基金。区政府将结合实际情况，做好与母基金设计及管理机构的配合、衔接工作。</w:t>
      </w:r>
    </w:p>
    <w:p w:rsidR="007B7891" w:rsidRDefault="007B7891" w:rsidP="00783FEB">
      <w:pPr>
        <w:spacing w:line="580" w:lineRule="exact"/>
        <w:ind w:firstLine="31680"/>
      </w:pPr>
      <w:r>
        <w:rPr>
          <w:rFonts w:ascii="黑体" w:eastAsia="黑体" w:hAnsi="黑体" w:cs="黑体" w:hint="eastAsia"/>
        </w:rPr>
        <w:t>第十四条</w:t>
      </w:r>
      <w:r>
        <w:t xml:space="preserve">  </w:t>
      </w:r>
      <w:r>
        <w:rPr>
          <w:rFonts w:hint="eastAsia"/>
        </w:rPr>
        <w:t>政府投资基金出资人：区政府指定有关部门作为政府投资基金出资人，并由其委托国有投资平台公司履行出资人职责。</w:t>
      </w:r>
    </w:p>
    <w:p w:rsidR="007B7891" w:rsidRDefault="007B7891" w:rsidP="00783FEB">
      <w:pPr>
        <w:ind w:firstLine="31680"/>
      </w:pPr>
    </w:p>
    <w:p w:rsidR="007B7891" w:rsidRDefault="007B7891" w:rsidP="00783FEB">
      <w:pPr>
        <w:ind w:firstLine="31680"/>
        <w:jc w:val="center"/>
        <w:rPr>
          <w:rFonts w:ascii="黑体" w:eastAsia="黑体" w:hAnsi="黑体" w:cs="黑体"/>
        </w:rPr>
      </w:pPr>
      <w:r>
        <w:rPr>
          <w:rFonts w:ascii="黑体" w:eastAsia="黑体" w:hAnsi="黑体" w:cs="黑体" w:hint="eastAsia"/>
        </w:rPr>
        <w:t>第三章</w:t>
      </w:r>
      <w:r>
        <w:rPr>
          <w:rFonts w:ascii="黑体" w:eastAsia="黑体" w:hAnsi="黑体" w:cs="黑体"/>
        </w:rPr>
        <w:t xml:space="preserve">  </w:t>
      </w:r>
      <w:r>
        <w:rPr>
          <w:rFonts w:ascii="黑体" w:eastAsia="黑体" w:hAnsi="黑体" w:cs="黑体" w:hint="eastAsia"/>
        </w:rPr>
        <w:t>管理机构及其职责</w:t>
      </w:r>
    </w:p>
    <w:p w:rsidR="007B7891" w:rsidRDefault="007B7891" w:rsidP="00783FEB">
      <w:pPr>
        <w:ind w:firstLine="31680"/>
      </w:pPr>
    </w:p>
    <w:p w:rsidR="007B7891" w:rsidRDefault="007B7891" w:rsidP="00783FEB">
      <w:pPr>
        <w:spacing w:line="580" w:lineRule="exact"/>
        <w:ind w:firstLine="31680"/>
      </w:pPr>
      <w:r>
        <w:rPr>
          <w:rFonts w:ascii="黑体" w:eastAsia="黑体" w:hAnsi="黑体" w:cs="黑体" w:hint="eastAsia"/>
        </w:rPr>
        <w:t>第十五条</w:t>
      </w:r>
      <w:r>
        <w:t xml:space="preserve">  </w:t>
      </w:r>
      <w:r>
        <w:rPr>
          <w:rFonts w:hint="eastAsia"/>
        </w:rPr>
        <w:t>区政府设立上党区政府投资基金理事会（以下简称“基金理事会”），负责规范政府投资基金管理，对区政府负责并报告工作。基金理事会主任由分管金融副区长兼任，基金理事会成员由区政府金融工作中心、区发改科技局、区财政局、区税务局、区行政审批局、区政府指定的国有投资平台公司等相关单位负责人组成。</w:t>
      </w:r>
    </w:p>
    <w:p w:rsidR="007B7891" w:rsidRDefault="007B7891" w:rsidP="00783FEB">
      <w:pPr>
        <w:spacing w:line="580" w:lineRule="exact"/>
        <w:ind w:firstLine="31680"/>
      </w:pPr>
      <w:r>
        <w:rPr>
          <w:rFonts w:ascii="黑体" w:eastAsia="黑体" w:hAnsi="黑体" w:cs="黑体" w:hint="eastAsia"/>
        </w:rPr>
        <w:t>第十六条</w:t>
      </w:r>
      <w:r>
        <w:rPr>
          <w:rFonts w:ascii="黑体" w:eastAsia="黑体" w:hAnsi="黑体" w:cs="黑体"/>
        </w:rPr>
        <w:t xml:space="preserve">  </w:t>
      </w:r>
      <w:r>
        <w:rPr>
          <w:rFonts w:hint="eastAsia"/>
        </w:rPr>
        <w:t>基金理事会主要职责：</w:t>
      </w:r>
    </w:p>
    <w:p w:rsidR="007B7891" w:rsidRDefault="007B7891" w:rsidP="00783FEB">
      <w:pPr>
        <w:spacing w:line="580" w:lineRule="exact"/>
        <w:ind w:firstLine="31680"/>
      </w:pPr>
      <w:r>
        <w:rPr>
          <w:rFonts w:hint="eastAsia"/>
        </w:rPr>
        <w:t>（一）确定政府投资基金投资方向、投资政策等重大事项，制定专项子基金投资管理办法</w:t>
      </w:r>
      <w:r>
        <w:t>;</w:t>
      </w:r>
    </w:p>
    <w:p w:rsidR="007B7891" w:rsidRDefault="007B7891" w:rsidP="00783FEB">
      <w:pPr>
        <w:spacing w:line="580" w:lineRule="exact"/>
        <w:ind w:firstLine="31680"/>
      </w:pPr>
      <w:r>
        <w:rPr>
          <w:rFonts w:hint="eastAsia"/>
        </w:rPr>
        <w:t>（二）对政府投资基金统筹实施政策指导、日常管理、考核评价等；</w:t>
      </w:r>
    </w:p>
    <w:p w:rsidR="007B7891" w:rsidRDefault="007B7891" w:rsidP="00783FEB">
      <w:pPr>
        <w:spacing w:line="580" w:lineRule="exact"/>
        <w:ind w:firstLine="31680"/>
      </w:pPr>
      <w:r>
        <w:rPr>
          <w:rFonts w:hint="eastAsia"/>
        </w:rPr>
        <w:t>（三）指导和监督政府投资基金基金管理人规范运作；</w:t>
      </w:r>
    </w:p>
    <w:p w:rsidR="007B7891" w:rsidRDefault="007B7891" w:rsidP="00783FEB">
      <w:pPr>
        <w:spacing w:line="580" w:lineRule="exact"/>
        <w:ind w:firstLine="31680"/>
      </w:pPr>
      <w:r>
        <w:rPr>
          <w:rFonts w:hint="eastAsia"/>
        </w:rPr>
        <w:t>（四）协调解决政府投资基金运作过程中遇到的困难和问题，对难以解决的问题及时报请区政府研究解决。</w:t>
      </w:r>
    </w:p>
    <w:p w:rsidR="007B7891" w:rsidRDefault="007B7891" w:rsidP="00783FEB">
      <w:pPr>
        <w:spacing w:line="580" w:lineRule="exact"/>
        <w:ind w:firstLine="31680"/>
      </w:pPr>
      <w:r>
        <w:rPr>
          <w:rFonts w:hint="eastAsia"/>
        </w:rPr>
        <w:t>基金理事会下设办公室，办公室设在区政府金融工作中心，办公室主任由区政府金融工作中心主任兼任。</w:t>
      </w:r>
    </w:p>
    <w:p w:rsidR="007B7891" w:rsidRDefault="007B7891" w:rsidP="00783FEB">
      <w:pPr>
        <w:spacing w:line="580" w:lineRule="exact"/>
        <w:ind w:firstLine="31680"/>
      </w:pPr>
      <w:r>
        <w:rPr>
          <w:rFonts w:ascii="黑体" w:eastAsia="黑体" w:hAnsi="黑体" w:cs="黑体" w:hint="eastAsia"/>
        </w:rPr>
        <w:t>第十七条</w:t>
      </w:r>
      <w:r>
        <w:t xml:space="preserve">  </w:t>
      </w:r>
      <w:r>
        <w:rPr>
          <w:rFonts w:hint="eastAsia"/>
        </w:rPr>
        <w:t>基金理事会各成员单位职责：</w:t>
      </w:r>
    </w:p>
    <w:p w:rsidR="007B7891" w:rsidRDefault="007B7891" w:rsidP="00783FEB">
      <w:pPr>
        <w:spacing w:line="580" w:lineRule="exact"/>
        <w:ind w:firstLine="31680"/>
      </w:pPr>
      <w:r>
        <w:rPr>
          <w:rFonts w:hint="eastAsia"/>
        </w:rPr>
        <w:t>区政府金融工作中心（基金理事会办公室）：负责处理基金理事会日常事务；承担区级政府投资基金运行的汇总、统计、分析等管理工作；对区级政府投资基金运作进行政策指导和协调服务；牵头区级政府投资基金的绩效考核评价工作；贯彻落实基金理事会安排部署的其他工作。</w:t>
      </w:r>
    </w:p>
    <w:p w:rsidR="007B7891" w:rsidRDefault="007B7891" w:rsidP="00783FEB">
      <w:pPr>
        <w:spacing w:line="580" w:lineRule="exact"/>
        <w:ind w:firstLine="31680"/>
      </w:pPr>
      <w:r>
        <w:rPr>
          <w:rFonts w:hint="eastAsia"/>
        </w:rPr>
        <w:t>区发改科技局：会同有关部门对区级政府投资基金进行业务指导，配合做好区级政府投资基金绩效考核评价工作。</w:t>
      </w:r>
    </w:p>
    <w:p w:rsidR="007B7891" w:rsidRDefault="007B7891" w:rsidP="00783FEB">
      <w:pPr>
        <w:spacing w:line="580" w:lineRule="exact"/>
        <w:ind w:firstLine="31680"/>
      </w:pPr>
      <w:r>
        <w:rPr>
          <w:rFonts w:hint="eastAsia"/>
        </w:rPr>
        <w:t>区财政局：履行区级政府资金出资人职责，或委托相关企业履行区级政府资金出资人职责；配合做好区级政府投资基金绩效考核评价工作；会同有关部门对区级政府投资基金运作情况进行年度检查。</w:t>
      </w:r>
    </w:p>
    <w:p w:rsidR="007B7891" w:rsidRDefault="007B7891" w:rsidP="00783FEB">
      <w:pPr>
        <w:spacing w:line="580" w:lineRule="exact"/>
        <w:ind w:firstLine="31680"/>
      </w:pPr>
      <w:r>
        <w:rPr>
          <w:rFonts w:hint="eastAsia"/>
        </w:rPr>
        <w:t>区税务局：对政府投资基金所投资项目及基金管理人，依据实际情况制定相应税务优惠政策；配合做好区级政府投资基金绩效考核评价工作；会同有关部门对区级政府投资基金运作情况进行年度检查。</w:t>
      </w:r>
    </w:p>
    <w:p w:rsidR="007B7891" w:rsidRDefault="007B7891" w:rsidP="00783FEB">
      <w:pPr>
        <w:spacing w:line="580" w:lineRule="exact"/>
        <w:ind w:firstLine="31680"/>
      </w:pPr>
      <w:r>
        <w:rPr>
          <w:rFonts w:hint="eastAsia"/>
        </w:rPr>
        <w:t>区行政审批局：负责政府投资基金的注册登记工作。</w:t>
      </w:r>
    </w:p>
    <w:p w:rsidR="007B7891" w:rsidRDefault="007B7891" w:rsidP="00783FEB">
      <w:pPr>
        <w:spacing w:line="580" w:lineRule="exact"/>
        <w:ind w:firstLine="31680"/>
      </w:pPr>
      <w:r>
        <w:rPr>
          <w:rFonts w:hint="eastAsia"/>
        </w:rPr>
        <w:t>区政府指定的国有投资平台公司：受托履行区级政府资金出资人职责；配合做好区级政府投资基金绩效考核评价工作。</w:t>
      </w:r>
    </w:p>
    <w:p w:rsidR="007B7891" w:rsidRDefault="007B7891" w:rsidP="00783FEB">
      <w:pPr>
        <w:spacing w:line="580" w:lineRule="exact"/>
        <w:ind w:firstLine="31680"/>
      </w:pPr>
      <w:r>
        <w:rPr>
          <w:rFonts w:hint="eastAsia"/>
        </w:rPr>
        <w:t>各成员单位每年</w:t>
      </w:r>
      <w:r>
        <w:t>8</w:t>
      </w:r>
      <w:r>
        <w:rPr>
          <w:rFonts w:hint="eastAsia"/>
        </w:rPr>
        <w:t>月底、次年</w:t>
      </w:r>
      <w:r>
        <w:t>1</w:t>
      </w:r>
      <w:r>
        <w:rPr>
          <w:rFonts w:hint="eastAsia"/>
        </w:rPr>
        <w:t>月底前向基金理事会报送工作报告。</w:t>
      </w:r>
    </w:p>
    <w:p w:rsidR="007B7891" w:rsidRDefault="007B7891" w:rsidP="00783FEB">
      <w:pPr>
        <w:spacing w:line="580" w:lineRule="exact"/>
        <w:ind w:firstLine="31680"/>
      </w:pPr>
      <w:r>
        <w:rPr>
          <w:rFonts w:hint="eastAsia"/>
        </w:rPr>
        <w:t>基金理事会成员单位依职权负责对政府投资基金的投资规划、投资进度、资金保管和使用情况进行监督。</w:t>
      </w:r>
    </w:p>
    <w:p w:rsidR="007B7891" w:rsidRDefault="007B7891" w:rsidP="00783FEB">
      <w:pPr>
        <w:spacing w:line="580" w:lineRule="exact"/>
        <w:ind w:firstLine="31680"/>
      </w:pPr>
      <w:r>
        <w:rPr>
          <w:rFonts w:ascii="黑体" w:eastAsia="黑体" w:hAnsi="黑体" w:cs="黑体" w:hint="eastAsia"/>
        </w:rPr>
        <w:t>第十八条</w:t>
      </w:r>
      <w:r>
        <w:t xml:space="preserve">  </w:t>
      </w:r>
      <w:r>
        <w:rPr>
          <w:rFonts w:hint="eastAsia"/>
        </w:rPr>
        <w:t>区直相关部门要充分发挥政策、产业、信息等优势，积极推介相关领域重点项目，健全投资备选项目库，实行动态更新，为政府投资基金提供项目信息查询和对接服务，配合基金管理人做好项目推介、投融资对接、服务基金管理人开展项目尽职调查等工作。</w:t>
      </w:r>
    </w:p>
    <w:p w:rsidR="007B7891" w:rsidRDefault="007B7891" w:rsidP="00783FEB">
      <w:pPr>
        <w:spacing w:line="580" w:lineRule="exact"/>
        <w:ind w:firstLine="31680"/>
      </w:pPr>
      <w:r>
        <w:rPr>
          <w:rFonts w:ascii="黑体" w:eastAsia="黑体" w:hAnsi="黑体" w:cs="黑体" w:hint="eastAsia"/>
        </w:rPr>
        <w:t>第十九条</w:t>
      </w:r>
      <w:r>
        <w:t xml:space="preserve">  </w:t>
      </w:r>
      <w:r>
        <w:rPr>
          <w:rFonts w:hint="eastAsia"/>
        </w:rPr>
        <w:t>政府投资基金的组成结构：</w:t>
      </w:r>
    </w:p>
    <w:p w:rsidR="007B7891" w:rsidRDefault="007B7891" w:rsidP="00783FEB">
      <w:pPr>
        <w:spacing w:line="580" w:lineRule="exact"/>
        <w:ind w:firstLine="31680"/>
      </w:pPr>
      <w:r>
        <w:rPr>
          <w:rFonts w:hint="eastAsia"/>
        </w:rPr>
        <w:t>（一）政府投资基金出资人作为有限合伙人，行使出资人权利、承担出资人义务；</w:t>
      </w:r>
    </w:p>
    <w:p w:rsidR="007B7891" w:rsidRDefault="007B7891" w:rsidP="00783FEB">
      <w:pPr>
        <w:spacing w:line="580" w:lineRule="exact"/>
        <w:ind w:firstLine="31680"/>
      </w:pPr>
      <w:r>
        <w:rPr>
          <w:rFonts w:hint="eastAsia"/>
        </w:rPr>
        <w:t>（二）基金管理人即为政府投资基金的执行事务合伙人；</w:t>
      </w:r>
    </w:p>
    <w:p w:rsidR="007B7891" w:rsidRDefault="007B7891" w:rsidP="00783FEB">
      <w:pPr>
        <w:spacing w:line="580" w:lineRule="exact"/>
        <w:ind w:firstLine="31680"/>
      </w:pPr>
      <w:r>
        <w:rPr>
          <w:rFonts w:hint="eastAsia"/>
        </w:rPr>
        <w:t>（三）经区政府批准的基金管理人，负责政府投资基金具体事务，包括但不限于基金（含子基金）成立、基金投资与运营、收益分配、聘请（解聘）中介机构、解散、清算等；</w:t>
      </w:r>
    </w:p>
    <w:p w:rsidR="007B7891" w:rsidRDefault="007B7891" w:rsidP="00783FEB">
      <w:pPr>
        <w:spacing w:line="580" w:lineRule="exact"/>
        <w:ind w:firstLine="31680"/>
      </w:pPr>
      <w:r>
        <w:rPr>
          <w:rFonts w:hint="eastAsia"/>
        </w:rPr>
        <w:t>（四）基金管理人定期向基金理事会及其办公室报告政府投资基金运行情况。</w:t>
      </w:r>
    </w:p>
    <w:p w:rsidR="007B7891" w:rsidRDefault="007B7891" w:rsidP="00783FEB">
      <w:pPr>
        <w:spacing w:line="580" w:lineRule="exact"/>
        <w:ind w:firstLine="31680"/>
      </w:pPr>
      <w:r>
        <w:rPr>
          <w:rFonts w:ascii="黑体" w:eastAsia="黑体" w:hAnsi="黑体" w:cs="黑体" w:hint="eastAsia"/>
        </w:rPr>
        <w:t>第二十条</w:t>
      </w:r>
      <w:r>
        <w:t xml:space="preserve">  </w:t>
      </w:r>
      <w:r>
        <w:rPr>
          <w:rFonts w:hint="eastAsia"/>
        </w:rPr>
        <w:t>基金管理人负责基金（含母基金、子基金）的投资管理、运营管理等。基金管理人主要职责：</w:t>
      </w:r>
    </w:p>
    <w:p w:rsidR="007B7891" w:rsidRDefault="007B7891" w:rsidP="00783FEB">
      <w:pPr>
        <w:spacing w:line="580" w:lineRule="exact"/>
        <w:ind w:firstLine="31680"/>
      </w:pPr>
      <w:r>
        <w:rPr>
          <w:rFonts w:hint="eastAsia"/>
        </w:rPr>
        <w:t>（一）规划子基金的构成与投向，年度投资计划、募集社会资金，发起设立子基金。</w:t>
      </w:r>
    </w:p>
    <w:p w:rsidR="007B7891" w:rsidRDefault="007B7891" w:rsidP="00783FEB">
      <w:pPr>
        <w:spacing w:line="580" w:lineRule="exact"/>
        <w:ind w:firstLine="31680"/>
      </w:pPr>
      <w:r>
        <w:rPr>
          <w:rFonts w:hint="eastAsia"/>
        </w:rPr>
        <w:t>（二）对拟出资子基金开展尽职调查与合作谈判，签订子基金合伙协议、其他必要协议或制定章程；</w:t>
      </w:r>
    </w:p>
    <w:p w:rsidR="007B7891" w:rsidRDefault="007B7891" w:rsidP="00783FEB">
      <w:pPr>
        <w:spacing w:line="580" w:lineRule="exact"/>
        <w:ind w:firstLine="31680"/>
      </w:pPr>
      <w:r>
        <w:rPr>
          <w:rFonts w:hint="eastAsia"/>
        </w:rPr>
        <w:t>（三）对被投资项目开展尽职调查，并负责相关投资管理工作；</w:t>
      </w:r>
    </w:p>
    <w:p w:rsidR="007B7891" w:rsidRDefault="007B7891" w:rsidP="00783FEB">
      <w:pPr>
        <w:spacing w:line="580" w:lineRule="exact"/>
        <w:ind w:firstLine="31680"/>
      </w:pPr>
      <w:r>
        <w:rPr>
          <w:rFonts w:hint="eastAsia"/>
        </w:rPr>
        <w:t>（四）负责母基金从子基金退出与清算；</w:t>
      </w:r>
    </w:p>
    <w:p w:rsidR="007B7891" w:rsidRDefault="007B7891" w:rsidP="00783FEB">
      <w:pPr>
        <w:spacing w:line="580" w:lineRule="exact"/>
        <w:ind w:firstLine="31680"/>
      </w:pPr>
      <w:r>
        <w:rPr>
          <w:rFonts w:hint="eastAsia"/>
        </w:rPr>
        <w:t>（五）负责子基金管理运营情况的监督及考核评价工作；</w:t>
      </w:r>
    </w:p>
    <w:p w:rsidR="007B7891" w:rsidRDefault="007B7891" w:rsidP="00783FEB">
      <w:pPr>
        <w:spacing w:line="580" w:lineRule="exact"/>
        <w:ind w:firstLine="31680"/>
      </w:pPr>
      <w:r>
        <w:rPr>
          <w:rFonts w:hint="eastAsia"/>
        </w:rPr>
        <w:t>（六）负责政府投资基金在投资、运营、退出等各个环节的中介机构选聘工作。</w:t>
      </w:r>
    </w:p>
    <w:p w:rsidR="007B7891" w:rsidRDefault="007B7891" w:rsidP="00783FEB">
      <w:pPr>
        <w:ind w:firstLine="31680"/>
      </w:pPr>
    </w:p>
    <w:p w:rsidR="007B7891" w:rsidRDefault="007B7891">
      <w:pPr>
        <w:ind w:firstLineChars="0" w:firstLine="0"/>
        <w:jc w:val="center"/>
        <w:rPr>
          <w:rFonts w:ascii="黑体" w:eastAsia="黑体" w:hAnsi="黑体" w:cs="黑体"/>
        </w:rPr>
      </w:pPr>
      <w:r>
        <w:rPr>
          <w:rFonts w:ascii="黑体" w:eastAsia="黑体" w:hAnsi="黑体" w:cs="黑体" w:hint="eastAsia"/>
        </w:rPr>
        <w:t>第四章</w:t>
      </w:r>
      <w:r>
        <w:rPr>
          <w:rFonts w:ascii="黑体" w:eastAsia="黑体" w:hAnsi="黑体" w:cs="黑体"/>
        </w:rPr>
        <w:t xml:space="preserve">  </w:t>
      </w:r>
      <w:r>
        <w:rPr>
          <w:rFonts w:ascii="黑体" w:eastAsia="黑体" w:hAnsi="黑体" w:cs="黑体" w:hint="eastAsia"/>
        </w:rPr>
        <w:t>投资方向与运作模式</w:t>
      </w:r>
    </w:p>
    <w:p w:rsidR="007B7891" w:rsidRDefault="007B7891" w:rsidP="00783FEB">
      <w:pPr>
        <w:ind w:firstLine="31680"/>
      </w:pPr>
    </w:p>
    <w:p w:rsidR="007B7891" w:rsidRDefault="007B7891" w:rsidP="00783FEB">
      <w:pPr>
        <w:spacing w:line="580" w:lineRule="exact"/>
        <w:ind w:firstLine="31680"/>
      </w:pPr>
      <w:r>
        <w:rPr>
          <w:rFonts w:ascii="黑体" w:eastAsia="黑体" w:hAnsi="黑体" w:cs="黑体" w:hint="eastAsia"/>
        </w:rPr>
        <w:t>第二十一条</w:t>
      </w:r>
      <w:r>
        <w:t xml:space="preserve">  </w:t>
      </w:r>
      <w:r>
        <w:rPr>
          <w:rFonts w:hint="eastAsia"/>
        </w:rPr>
        <w:t>政府投资基金投资领域：</w:t>
      </w:r>
    </w:p>
    <w:p w:rsidR="007B7891" w:rsidRDefault="007B7891" w:rsidP="00783FEB">
      <w:pPr>
        <w:spacing w:line="580" w:lineRule="exact"/>
        <w:ind w:firstLine="31680"/>
      </w:pPr>
      <w:r>
        <w:rPr>
          <w:rFonts w:hint="eastAsia"/>
        </w:rPr>
        <w:t>（一）支持上党区六大产业链九大专业镇的发展。推进产业转型和数字转型聚势提能，提升我区产业链、专业镇整体竞争力。加速推进短板产业补链、优势产业延链、传统产业升链、新兴产业建链，加快培育发展一批特色专业镇，推动实现我区经济高质量发展。</w:t>
      </w:r>
    </w:p>
    <w:p w:rsidR="007B7891" w:rsidRDefault="007B7891" w:rsidP="00783FEB">
      <w:pPr>
        <w:spacing w:line="580" w:lineRule="exact"/>
        <w:ind w:firstLine="31680"/>
      </w:pPr>
      <w:r>
        <w:rPr>
          <w:rFonts w:hint="eastAsia"/>
        </w:rPr>
        <w:t>（二）支持战略性新兴产业和先进制造业发展。聚焦新基建、新技术、新材料、新装备、新产品、新业态，走出转型新路径，做大做强若干产业创新链，助推我区战略性新兴产业和先进制造业加快发展。</w:t>
      </w:r>
    </w:p>
    <w:p w:rsidR="007B7891" w:rsidRDefault="007B7891" w:rsidP="00783FEB">
      <w:pPr>
        <w:spacing w:line="580" w:lineRule="exact"/>
        <w:ind w:firstLine="31680"/>
      </w:pPr>
      <w:r>
        <w:rPr>
          <w:rFonts w:hint="eastAsia"/>
        </w:rPr>
        <w:t>（三）支持我区工业高质量发展。重点围绕我区优势产业，着力引进领军企业和创新平台，实现关键技术突破和应用。</w:t>
      </w:r>
    </w:p>
    <w:p w:rsidR="007B7891" w:rsidRDefault="007B7891" w:rsidP="00783FEB">
      <w:pPr>
        <w:spacing w:line="580" w:lineRule="exact"/>
        <w:ind w:firstLine="31680"/>
      </w:pPr>
      <w:r>
        <w:rPr>
          <w:rFonts w:hint="eastAsia"/>
        </w:rPr>
        <w:t>（四）支持我区中小企业发展。围绕国家宏观政策、产业政策和区域发展规划意图，扶持中小微企业发展，改善企业服务环境和融资环境，激发企业创业创新活力，增强经济持续发展内生动力。</w:t>
      </w:r>
    </w:p>
    <w:p w:rsidR="007B7891" w:rsidRDefault="007B7891" w:rsidP="00783FEB">
      <w:pPr>
        <w:spacing w:line="580" w:lineRule="exact"/>
        <w:ind w:firstLine="31680"/>
      </w:pPr>
      <w:r>
        <w:rPr>
          <w:rFonts w:hint="eastAsia"/>
        </w:rPr>
        <w:t>（五）支持产业转型升级和发展。支持我区重大关键技术产业化，有效解决产业发展投入大、风险大的问题，实现产业转型升级和重大发展。</w:t>
      </w:r>
    </w:p>
    <w:p w:rsidR="007B7891" w:rsidRDefault="007B7891" w:rsidP="00783FEB">
      <w:pPr>
        <w:spacing w:line="580" w:lineRule="exact"/>
        <w:ind w:firstLine="31680"/>
      </w:pPr>
      <w:r>
        <w:rPr>
          <w:rFonts w:hint="eastAsia"/>
        </w:rPr>
        <w:t>（六）支持基础设施和公共服务领域投资。</w:t>
      </w:r>
    </w:p>
    <w:p w:rsidR="007B7891" w:rsidRDefault="007B7891" w:rsidP="00783FEB">
      <w:pPr>
        <w:spacing w:line="580" w:lineRule="exact"/>
        <w:ind w:firstLine="31680"/>
      </w:pPr>
      <w:r>
        <w:rPr>
          <w:rFonts w:hint="eastAsia"/>
        </w:rPr>
        <w:t>（七）支持住房保障领域、生态环境领域、区域发展领域持续发展。</w:t>
      </w:r>
    </w:p>
    <w:p w:rsidR="007B7891" w:rsidRDefault="007B7891" w:rsidP="00783FEB">
      <w:pPr>
        <w:spacing w:line="580" w:lineRule="exact"/>
        <w:ind w:firstLine="31680"/>
      </w:pPr>
      <w:r>
        <w:rPr>
          <w:rFonts w:hint="eastAsia"/>
        </w:rPr>
        <w:t>（八）国家相关政策或省、市、区级党委、区政府支持的其他领域。</w:t>
      </w:r>
    </w:p>
    <w:p w:rsidR="007B7891" w:rsidRDefault="007B7891" w:rsidP="00783FEB">
      <w:pPr>
        <w:spacing w:line="580" w:lineRule="exact"/>
        <w:ind w:firstLine="31680"/>
      </w:pPr>
      <w:r>
        <w:rPr>
          <w:rFonts w:hint="eastAsia"/>
        </w:rPr>
        <w:t>在上述领域，政府投资基金可对企业不同发展阶段进行投资，具体以子基金方案为准。</w:t>
      </w:r>
    </w:p>
    <w:p w:rsidR="007B7891" w:rsidRDefault="007B7891" w:rsidP="00783FEB">
      <w:pPr>
        <w:spacing w:line="580" w:lineRule="exact"/>
        <w:ind w:firstLine="31680"/>
      </w:pPr>
      <w:r>
        <w:rPr>
          <w:rFonts w:hint="eastAsia"/>
        </w:rPr>
        <w:t>政府投资基金投资约定产业领域的比例不得低于政府投资基金出资人出资规模的</w:t>
      </w:r>
      <w:r>
        <w:t>60%</w:t>
      </w:r>
      <w:r>
        <w:rPr>
          <w:rFonts w:hint="eastAsia"/>
        </w:rPr>
        <w:t>。</w:t>
      </w:r>
    </w:p>
    <w:p w:rsidR="007B7891" w:rsidRDefault="007B7891" w:rsidP="00783FEB">
      <w:pPr>
        <w:spacing w:line="580" w:lineRule="exact"/>
        <w:ind w:firstLine="31680"/>
      </w:pPr>
      <w:r>
        <w:rPr>
          <w:rFonts w:ascii="黑体" w:eastAsia="黑体" w:hAnsi="黑体" w:cs="黑体" w:hint="eastAsia"/>
        </w:rPr>
        <w:t>第二十二条</w:t>
      </w:r>
      <w:r>
        <w:t xml:space="preserve">  </w:t>
      </w:r>
      <w:r>
        <w:rPr>
          <w:rFonts w:hint="eastAsia"/>
        </w:rPr>
        <w:t>政府投资基金应投资于：</w:t>
      </w:r>
    </w:p>
    <w:p w:rsidR="007B7891" w:rsidRDefault="007B7891" w:rsidP="00783FEB">
      <w:pPr>
        <w:spacing w:line="580" w:lineRule="exact"/>
        <w:ind w:firstLine="31680"/>
      </w:pPr>
      <w:r>
        <w:rPr>
          <w:rFonts w:hint="eastAsia"/>
        </w:rPr>
        <w:t>（一）未上市企业股权，包括以法人形式设立的基础设施项目、重大工程项目等未上市企业的股权；</w:t>
      </w:r>
    </w:p>
    <w:p w:rsidR="007B7891" w:rsidRDefault="007B7891" w:rsidP="00783FEB">
      <w:pPr>
        <w:spacing w:line="580" w:lineRule="exact"/>
        <w:ind w:firstLine="31680"/>
      </w:pPr>
      <w:r>
        <w:rPr>
          <w:rFonts w:hint="eastAsia"/>
        </w:rPr>
        <w:t>（二）参与上市公司定向增发、并购重组和私有化等股权交易形成的股份；</w:t>
      </w:r>
    </w:p>
    <w:p w:rsidR="007B7891" w:rsidRDefault="007B7891" w:rsidP="00783FEB">
      <w:pPr>
        <w:spacing w:line="580" w:lineRule="exact"/>
        <w:ind w:firstLine="31680"/>
      </w:pPr>
      <w:r>
        <w:rPr>
          <w:rFonts w:hint="eastAsia"/>
        </w:rPr>
        <w:t>（三）其他符合国家产业政策的其他投资形式。</w:t>
      </w:r>
    </w:p>
    <w:p w:rsidR="007B7891" w:rsidRDefault="007B7891" w:rsidP="00783FEB">
      <w:pPr>
        <w:spacing w:line="580" w:lineRule="exact"/>
        <w:ind w:firstLine="31680"/>
      </w:pPr>
      <w:r>
        <w:rPr>
          <w:rFonts w:hint="eastAsia"/>
        </w:rPr>
        <w:t>政府投资基金闲置资金只能投资于银行存款、国债、地方政府债、政策性金融债、政府支持债券等安全性和流动性较好的固定收益类资产。</w:t>
      </w:r>
    </w:p>
    <w:p w:rsidR="007B7891" w:rsidRDefault="007B7891" w:rsidP="00783FEB">
      <w:pPr>
        <w:spacing w:line="580" w:lineRule="exact"/>
        <w:ind w:firstLine="31680"/>
      </w:pPr>
      <w:r>
        <w:rPr>
          <w:rFonts w:ascii="黑体" w:eastAsia="黑体" w:hAnsi="黑体" w:cs="黑体" w:hint="eastAsia"/>
        </w:rPr>
        <w:t>第二十三条</w:t>
      </w:r>
      <w:r>
        <w:t xml:space="preserve">  </w:t>
      </w:r>
      <w:r>
        <w:rPr>
          <w:rFonts w:hint="eastAsia"/>
        </w:rPr>
        <w:t>原则上政府投资基金对子基金的投资额不得超过政府投资基金总规模的</w:t>
      </w:r>
      <w:r>
        <w:t>20%</w:t>
      </w:r>
      <w:r>
        <w:rPr>
          <w:rFonts w:hint="eastAsia"/>
        </w:rPr>
        <w:t>。如遇特殊情况，报请基金理事会审议。且政府投资基金不得从事下列业务：</w:t>
      </w:r>
    </w:p>
    <w:p w:rsidR="007B7891" w:rsidRDefault="007B7891" w:rsidP="00783FEB">
      <w:pPr>
        <w:spacing w:line="580" w:lineRule="exact"/>
        <w:ind w:firstLine="31680"/>
      </w:pPr>
      <w:r>
        <w:rPr>
          <w:rFonts w:hint="eastAsia"/>
        </w:rPr>
        <w:t>（一）名股实债等变相增加政府债务的行为；</w:t>
      </w:r>
    </w:p>
    <w:p w:rsidR="007B7891" w:rsidRDefault="007B7891" w:rsidP="00783FEB">
      <w:pPr>
        <w:spacing w:line="580" w:lineRule="exact"/>
        <w:ind w:firstLine="31680"/>
      </w:pPr>
      <w:r>
        <w:rPr>
          <w:rFonts w:hint="eastAsia"/>
        </w:rPr>
        <w:t>（二）公开交易类股票投资（含证券投资基金），但以并购重组为目的的除外；</w:t>
      </w:r>
    </w:p>
    <w:p w:rsidR="007B7891" w:rsidRDefault="007B7891" w:rsidP="00783FEB">
      <w:pPr>
        <w:spacing w:line="580" w:lineRule="exact"/>
        <w:ind w:firstLine="31680"/>
      </w:pPr>
      <w:r>
        <w:rPr>
          <w:rFonts w:hint="eastAsia"/>
        </w:rPr>
        <w:t>（三）直接或间接从事期货等衍生品交易；</w:t>
      </w:r>
    </w:p>
    <w:p w:rsidR="007B7891" w:rsidRDefault="007B7891" w:rsidP="00783FEB">
      <w:pPr>
        <w:spacing w:line="580" w:lineRule="exact"/>
        <w:ind w:firstLine="31680"/>
      </w:pPr>
      <w:r>
        <w:rPr>
          <w:rFonts w:hint="eastAsia"/>
        </w:rPr>
        <w:t>（四）投资房地产、评级</w:t>
      </w:r>
      <w:r>
        <w:t>AAA</w:t>
      </w:r>
      <w:r>
        <w:rPr>
          <w:rFonts w:hint="eastAsia"/>
        </w:rPr>
        <w:t>以下的企业债、信托产品、非保本型理财产品、保险计划及其他金融衍生品；</w:t>
      </w:r>
    </w:p>
    <w:p w:rsidR="007B7891" w:rsidRDefault="007B7891" w:rsidP="00783FEB">
      <w:pPr>
        <w:spacing w:line="580" w:lineRule="exact"/>
        <w:ind w:firstLine="31680"/>
      </w:pPr>
      <w:r>
        <w:rPr>
          <w:rFonts w:hint="eastAsia"/>
        </w:rPr>
        <w:t>（五）为企业提供担保，但为被投资企业提供担保的除外；</w:t>
      </w:r>
    </w:p>
    <w:p w:rsidR="007B7891" w:rsidRDefault="007B7891" w:rsidP="00783FEB">
      <w:pPr>
        <w:spacing w:line="580" w:lineRule="exact"/>
        <w:ind w:firstLine="31680"/>
      </w:pPr>
      <w:r>
        <w:rPr>
          <w:rFonts w:hint="eastAsia"/>
        </w:rPr>
        <w:t>（六）从事融资担保以外的担保、抵押、委托贷款等业务；</w:t>
      </w:r>
    </w:p>
    <w:p w:rsidR="007B7891" w:rsidRDefault="007B7891" w:rsidP="00783FEB">
      <w:pPr>
        <w:spacing w:line="580" w:lineRule="exact"/>
        <w:ind w:firstLine="31680"/>
      </w:pPr>
      <w:r>
        <w:rPr>
          <w:rFonts w:hint="eastAsia"/>
        </w:rPr>
        <w:t>（七）向第三方提供赞助、捐赠，但经批准的公益性捐赠除外；</w:t>
      </w:r>
    </w:p>
    <w:p w:rsidR="007B7891" w:rsidRDefault="007B7891" w:rsidP="00783FEB">
      <w:pPr>
        <w:spacing w:line="580" w:lineRule="exact"/>
        <w:ind w:firstLine="31680"/>
      </w:pPr>
      <w:r>
        <w:rPr>
          <w:rFonts w:hint="eastAsia"/>
        </w:rPr>
        <w:t>（八）吸收或变相吸收存款，或向第三方提供贷款和资金拆借；</w:t>
      </w:r>
    </w:p>
    <w:p w:rsidR="007B7891" w:rsidRDefault="007B7891" w:rsidP="00783FEB">
      <w:pPr>
        <w:spacing w:line="580" w:lineRule="exact"/>
        <w:ind w:firstLine="31680"/>
      </w:pPr>
      <w:r>
        <w:rPr>
          <w:rFonts w:hint="eastAsia"/>
        </w:rPr>
        <w:t>（九）进行承担无限连带责任的对外投资；</w:t>
      </w:r>
    </w:p>
    <w:p w:rsidR="007B7891" w:rsidRDefault="007B7891" w:rsidP="00783FEB">
      <w:pPr>
        <w:spacing w:line="580" w:lineRule="exact"/>
        <w:ind w:firstLine="31680"/>
      </w:pPr>
      <w:r>
        <w:rPr>
          <w:rFonts w:hint="eastAsia"/>
        </w:rPr>
        <w:t>（十）发行信托或集合理财产品募集资金；</w:t>
      </w:r>
    </w:p>
    <w:p w:rsidR="007B7891" w:rsidRDefault="007B7891" w:rsidP="00783FEB">
      <w:pPr>
        <w:spacing w:line="580" w:lineRule="exact"/>
        <w:ind w:firstLine="31680"/>
      </w:pPr>
      <w:r>
        <w:rPr>
          <w:rFonts w:hint="eastAsia"/>
        </w:rPr>
        <w:t>（十一）其他国家法律法规禁止从事的业务。</w:t>
      </w:r>
    </w:p>
    <w:p w:rsidR="007B7891" w:rsidRDefault="007B7891" w:rsidP="00783FEB">
      <w:pPr>
        <w:spacing w:line="580" w:lineRule="exact"/>
        <w:ind w:firstLine="31680"/>
      </w:pPr>
      <w:r>
        <w:rPr>
          <w:rFonts w:ascii="黑体" w:eastAsia="黑体" w:hAnsi="黑体" w:cs="黑体" w:hint="eastAsia"/>
        </w:rPr>
        <w:t>第二十四条</w:t>
      </w:r>
      <w:r>
        <w:t xml:space="preserve">  </w:t>
      </w:r>
      <w:r>
        <w:rPr>
          <w:rFonts w:hint="eastAsia"/>
        </w:rPr>
        <w:t>政府投资基金可以进行结构化安排，但不得向其他出资人承诺保本保收益。</w:t>
      </w:r>
    </w:p>
    <w:p w:rsidR="007B7891" w:rsidRDefault="007B7891" w:rsidP="00783FEB">
      <w:pPr>
        <w:spacing w:line="580" w:lineRule="exact"/>
        <w:ind w:firstLine="31680"/>
      </w:pPr>
      <w:r>
        <w:rPr>
          <w:rFonts w:ascii="黑体" w:eastAsia="黑体" w:hAnsi="黑体" w:cs="黑体" w:hint="eastAsia"/>
        </w:rPr>
        <w:t>第二十五条</w:t>
      </w:r>
      <w:r>
        <w:t xml:space="preserve">  </w:t>
      </w:r>
      <w:r>
        <w:rPr>
          <w:rFonts w:hint="eastAsia"/>
        </w:rPr>
        <w:t>政府投资基金应采取认缴制，出具承诺出资函，根据基金投资进度，按约定比例出资。</w:t>
      </w:r>
    </w:p>
    <w:p w:rsidR="007B7891" w:rsidRDefault="007B7891" w:rsidP="00783FEB">
      <w:pPr>
        <w:spacing w:line="580" w:lineRule="exact"/>
        <w:ind w:firstLine="31680"/>
      </w:pPr>
      <w:r>
        <w:rPr>
          <w:rFonts w:ascii="黑体" w:eastAsia="黑体" w:hAnsi="黑体" w:cs="黑体" w:hint="eastAsia"/>
        </w:rPr>
        <w:t>第二十六条</w:t>
      </w:r>
      <w:r>
        <w:t xml:space="preserve">  </w:t>
      </w:r>
      <w:r>
        <w:rPr>
          <w:rFonts w:hint="eastAsia"/>
        </w:rPr>
        <w:t>政府投资基金出资人应在合伙协议等文件中，明确约定基金设立的政策目标、基金规模、投资方向、存续期限、出资方案、决策机制、风险防范、投资退出、管理费用、收益分配、清算、退出等。</w:t>
      </w:r>
    </w:p>
    <w:p w:rsidR="007B7891" w:rsidRDefault="007B7891" w:rsidP="00783FEB">
      <w:pPr>
        <w:spacing w:line="580" w:lineRule="exact"/>
        <w:ind w:firstLine="31680"/>
      </w:pPr>
      <w:r>
        <w:rPr>
          <w:rFonts w:ascii="黑体" w:eastAsia="黑体" w:hAnsi="黑体" w:cs="黑体" w:hint="eastAsia"/>
        </w:rPr>
        <w:t>第二十七条</w:t>
      </w:r>
      <w:r>
        <w:t xml:space="preserve">  </w:t>
      </w:r>
      <w:r>
        <w:rPr>
          <w:rFonts w:hint="eastAsia"/>
        </w:rPr>
        <w:t>政府投资基金采取股权投资等方式开展投资业务。</w:t>
      </w:r>
    </w:p>
    <w:p w:rsidR="007B7891" w:rsidRDefault="007B7891" w:rsidP="00783FEB">
      <w:pPr>
        <w:spacing w:line="580" w:lineRule="exact"/>
        <w:ind w:firstLine="31680"/>
      </w:pPr>
      <w:r>
        <w:rPr>
          <w:rFonts w:hint="eastAsia"/>
        </w:rPr>
        <w:t>单支子基金在我区的投资规模原则上不得低于子基金总规模的一定比例，具体比例在子基金设立方案中予以确定。</w:t>
      </w:r>
    </w:p>
    <w:p w:rsidR="007B7891" w:rsidRDefault="007B7891" w:rsidP="00783FEB">
      <w:pPr>
        <w:spacing w:line="580" w:lineRule="exact"/>
        <w:ind w:firstLine="31680"/>
      </w:pPr>
      <w:r>
        <w:rPr>
          <w:rFonts w:hint="eastAsia"/>
        </w:rPr>
        <w:t>上述投资规模包括区内的项目投资、上党区企业在区外的项目投资（含并购项目投资）和区外企业在我区的新增项目投资。</w:t>
      </w:r>
    </w:p>
    <w:p w:rsidR="007B7891" w:rsidRDefault="007B7891" w:rsidP="00783FEB">
      <w:pPr>
        <w:spacing w:line="580" w:lineRule="exact"/>
        <w:ind w:firstLine="31680"/>
      </w:pPr>
      <w:r>
        <w:rPr>
          <w:rFonts w:ascii="黑体" w:eastAsia="黑体" w:hAnsi="黑体" w:cs="黑体" w:hint="eastAsia"/>
        </w:rPr>
        <w:t>第二十八条</w:t>
      </w:r>
      <w:r>
        <w:t xml:space="preserve">  </w:t>
      </w:r>
      <w:r>
        <w:rPr>
          <w:rFonts w:hint="eastAsia"/>
        </w:rPr>
        <w:t>政府投资基金可以通过针对性让利、提高出资比例等方式，鼓励市场化子基金投资处于种子期、初创期的项目，积极发展天使基金，开展对科技创新企业的风险投资。</w:t>
      </w:r>
    </w:p>
    <w:p w:rsidR="007B7891" w:rsidRDefault="007B7891" w:rsidP="00783FEB">
      <w:pPr>
        <w:spacing w:line="580" w:lineRule="exact"/>
        <w:ind w:firstLine="31680"/>
      </w:pPr>
      <w:r>
        <w:rPr>
          <w:rFonts w:ascii="黑体" w:eastAsia="黑体" w:hAnsi="黑体" w:cs="黑体" w:hint="eastAsia"/>
        </w:rPr>
        <w:t>第二十九条</w:t>
      </w:r>
      <w:r>
        <w:rPr>
          <w:rFonts w:ascii="黑体" w:eastAsia="黑体" w:hAnsi="黑体" w:cs="黑体"/>
        </w:rPr>
        <w:t xml:space="preserve">  </w:t>
      </w:r>
      <w:r>
        <w:rPr>
          <w:rFonts w:hint="eastAsia"/>
        </w:rPr>
        <w:t>子基金完成工商注册登记后，要在</w:t>
      </w:r>
      <w:r>
        <w:t>6</w:t>
      </w:r>
      <w:r>
        <w:rPr>
          <w:rFonts w:hint="eastAsia"/>
        </w:rPr>
        <w:t>个月内完成首期实缴出资，首期实缴出资不低于认缴出资额的</w:t>
      </w:r>
      <w:r>
        <w:t>30%</w:t>
      </w:r>
      <w:r>
        <w:rPr>
          <w:rFonts w:hint="eastAsia"/>
        </w:rPr>
        <w:t>，</w:t>
      </w:r>
      <w:r>
        <w:t>24</w:t>
      </w:r>
      <w:r>
        <w:rPr>
          <w:rFonts w:hint="eastAsia"/>
        </w:rPr>
        <w:t>个月内实缴出资不低于认缴出资额的</w:t>
      </w:r>
      <w:r>
        <w:t>80%</w:t>
      </w:r>
      <w:r>
        <w:rPr>
          <w:rFonts w:hint="eastAsia"/>
        </w:rPr>
        <w:t>，全部出资应在</w:t>
      </w:r>
      <w:r>
        <w:t>36</w:t>
      </w:r>
      <w:r>
        <w:rPr>
          <w:rFonts w:hint="eastAsia"/>
        </w:rPr>
        <w:t>个月内到位。对于资金投放进度慢的项目，根据实际情况核减或收回财政出资，避免财政资金沉淀。</w:t>
      </w:r>
    </w:p>
    <w:p w:rsidR="007B7891" w:rsidRDefault="007B7891" w:rsidP="00783FEB">
      <w:pPr>
        <w:spacing w:line="580" w:lineRule="exact"/>
        <w:ind w:firstLine="31680"/>
      </w:pPr>
      <w:r>
        <w:rPr>
          <w:rFonts w:ascii="黑体" w:eastAsia="黑体" w:hAnsi="黑体" w:cs="黑体" w:hint="eastAsia"/>
        </w:rPr>
        <w:t>第三十条</w:t>
      </w:r>
      <w:r>
        <w:t xml:space="preserve">  </w:t>
      </w:r>
      <w:r>
        <w:rPr>
          <w:rFonts w:hint="eastAsia"/>
        </w:rPr>
        <w:t>基金管理人执行投资管理业务，应当服务全区经济社会发展大局，贯彻区委、区政府的决策部署，接受基金理事会、理事会办公室的指导和监督。</w:t>
      </w:r>
    </w:p>
    <w:p w:rsidR="007B7891" w:rsidRDefault="007B7891" w:rsidP="00783FEB">
      <w:pPr>
        <w:ind w:firstLine="31680"/>
      </w:pPr>
    </w:p>
    <w:p w:rsidR="007B7891" w:rsidRDefault="007B7891">
      <w:pPr>
        <w:ind w:firstLineChars="0" w:firstLine="0"/>
        <w:jc w:val="center"/>
        <w:rPr>
          <w:rFonts w:ascii="黑体" w:eastAsia="黑体" w:hAnsi="黑体" w:cs="黑体"/>
        </w:rPr>
      </w:pPr>
      <w:r>
        <w:rPr>
          <w:rFonts w:ascii="黑体" w:eastAsia="黑体" w:hAnsi="黑体" w:cs="黑体" w:hint="eastAsia"/>
        </w:rPr>
        <w:t>第五章</w:t>
      </w:r>
      <w:r>
        <w:rPr>
          <w:rFonts w:ascii="黑体" w:eastAsia="黑体" w:hAnsi="黑体" w:cs="黑体"/>
        </w:rPr>
        <w:t xml:space="preserve">  </w:t>
      </w:r>
      <w:r>
        <w:rPr>
          <w:rFonts w:ascii="黑体" w:eastAsia="黑体" w:hAnsi="黑体" w:cs="黑体" w:hint="eastAsia"/>
        </w:rPr>
        <w:t>收益分配与退出</w:t>
      </w:r>
    </w:p>
    <w:p w:rsidR="007B7891" w:rsidRDefault="007B7891" w:rsidP="00783FEB">
      <w:pPr>
        <w:ind w:firstLine="31680"/>
      </w:pPr>
    </w:p>
    <w:p w:rsidR="007B7891" w:rsidRDefault="007B7891" w:rsidP="00783FEB">
      <w:pPr>
        <w:spacing w:line="580" w:lineRule="exact"/>
        <w:ind w:firstLine="31680"/>
      </w:pPr>
      <w:r>
        <w:rPr>
          <w:rFonts w:ascii="黑体" w:eastAsia="黑体" w:hAnsi="黑体" w:cs="黑体" w:hint="eastAsia"/>
        </w:rPr>
        <w:t>第三十一条</w:t>
      </w:r>
      <w:r>
        <w:t xml:space="preserve">  </w:t>
      </w:r>
      <w:r>
        <w:rPr>
          <w:rFonts w:hint="eastAsia"/>
        </w:rPr>
        <w:t>基金管理人的管理费按年提取，原则上按照政府投资基金实缴出资额的一定比例（最高不超过</w:t>
      </w:r>
      <w:r>
        <w:t>2%</w:t>
      </w:r>
      <w:r>
        <w:rPr>
          <w:rFonts w:hint="eastAsia"/>
        </w:rPr>
        <w:t>）。</w:t>
      </w:r>
    </w:p>
    <w:p w:rsidR="007B7891" w:rsidRDefault="007B7891" w:rsidP="00783FEB">
      <w:pPr>
        <w:spacing w:line="580" w:lineRule="exact"/>
        <w:ind w:firstLine="31680"/>
      </w:pPr>
      <w:r>
        <w:rPr>
          <w:rFonts w:ascii="黑体" w:eastAsia="黑体" w:hAnsi="黑体" w:cs="黑体" w:hint="eastAsia"/>
        </w:rPr>
        <w:t>第三十二条</w:t>
      </w:r>
      <w:r>
        <w:t xml:space="preserve">  </w:t>
      </w:r>
      <w:r>
        <w:rPr>
          <w:rFonts w:hint="eastAsia"/>
        </w:rPr>
        <w:t>母基金按章程或合伙协议约定向子基金管理人支付政府投资基金出资部分的管理费用。年度管理费一般按照政府投资基金实缴出资额的一定比例（最高不超过</w:t>
      </w:r>
      <w:r>
        <w:t>2%</w:t>
      </w:r>
      <w:r>
        <w:rPr>
          <w:rFonts w:hint="eastAsia"/>
        </w:rPr>
        <w:t>）确定，具体比例在章程或合伙协议中明确。</w:t>
      </w:r>
    </w:p>
    <w:p w:rsidR="007B7891" w:rsidRDefault="007B7891" w:rsidP="00783FEB">
      <w:pPr>
        <w:spacing w:line="580" w:lineRule="exact"/>
        <w:ind w:firstLine="31680"/>
      </w:pPr>
      <w:r>
        <w:rPr>
          <w:rFonts w:ascii="黑体" w:eastAsia="黑体" w:hAnsi="黑体" w:cs="黑体" w:hint="eastAsia"/>
        </w:rPr>
        <w:t>第三十三条</w:t>
      </w:r>
      <w:r>
        <w:t xml:space="preserve">  </w:t>
      </w:r>
      <w:r>
        <w:rPr>
          <w:rFonts w:hint="eastAsia"/>
        </w:rPr>
        <w:t>除支付管理费外，母基金还可对子基金管理人实施业绩奖励。子基金的年平均收益率不低于子基金出资时中国人民银行授权全国银行间同业拆借中心公布的一年期贷款市场报价利率（</w:t>
      </w:r>
      <w:r>
        <w:t>LPR</w:t>
      </w:r>
      <w:r>
        <w:rPr>
          <w:rFonts w:hint="eastAsia"/>
        </w:rPr>
        <w:t>）的，母基金可将其应享有子基金增值收益的</w:t>
      </w:r>
      <w:r>
        <w:t>20%</w:t>
      </w:r>
      <w:r>
        <w:rPr>
          <w:rFonts w:hint="eastAsia"/>
        </w:rPr>
        <w:t>奖励子基金管理人。</w:t>
      </w:r>
    </w:p>
    <w:p w:rsidR="007B7891" w:rsidRDefault="007B7891" w:rsidP="00783FEB">
      <w:pPr>
        <w:spacing w:line="580" w:lineRule="exact"/>
        <w:ind w:firstLine="31680"/>
      </w:pPr>
      <w:r>
        <w:rPr>
          <w:rFonts w:hint="eastAsia"/>
        </w:rPr>
        <w:t>鼓励实行子基金管理团队跟投制度。</w:t>
      </w:r>
    </w:p>
    <w:p w:rsidR="007B7891" w:rsidRDefault="007B7891" w:rsidP="00783FEB">
      <w:pPr>
        <w:spacing w:line="580" w:lineRule="exact"/>
        <w:ind w:firstLine="31680"/>
      </w:pPr>
      <w:r>
        <w:rPr>
          <w:rFonts w:ascii="黑体" w:eastAsia="黑体" w:hAnsi="黑体" w:cs="黑体" w:hint="eastAsia"/>
        </w:rPr>
        <w:t>第三十四条</w:t>
      </w:r>
      <w:r>
        <w:t xml:space="preserve">  </w:t>
      </w:r>
      <w:r>
        <w:rPr>
          <w:rFonts w:hint="eastAsia"/>
        </w:rPr>
        <w:t>政府投资基金各出资方应当按照“利益共享、风险共担”的原则，明确约定收益处理和亏损负担方式。为体现政府资金的政策性要求，政府投资基金可根据项目投资领域、投资阶段、风险程度等，给予其他社会出资人适当让利。当基金清算出现亏损时，首先由基金管理人以其对基金的出资额承担亏损，剩余亏损应由出资方共同承担，政府以出资额为限承担有限责任。</w:t>
      </w:r>
    </w:p>
    <w:p w:rsidR="007B7891" w:rsidRDefault="007B7891" w:rsidP="00783FEB">
      <w:pPr>
        <w:spacing w:line="580" w:lineRule="exact"/>
        <w:ind w:firstLine="31680"/>
      </w:pPr>
      <w:r>
        <w:rPr>
          <w:rFonts w:ascii="黑体" w:eastAsia="黑体" w:hAnsi="黑体" w:cs="黑体" w:hint="eastAsia"/>
        </w:rPr>
        <w:t>第三十五条</w:t>
      </w:r>
      <w:r>
        <w:t xml:space="preserve">  </w:t>
      </w:r>
      <w:r>
        <w:rPr>
          <w:rFonts w:hint="eastAsia"/>
        </w:rPr>
        <w:t>基金延长期（若有）的管理费按照已投未退的投资金额，比例减半收取。</w:t>
      </w:r>
    </w:p>
    <w:p w:rsidR="007B7891" w:rsidRDefault="007B7891" w:rsidP="00783FEB">
      <w:pPr>
        <w:spacing w:line="580" w:lineRule="exact"/>
        <w:ind w:firstLine="31680"/>
      </w:pPr>
      <w:r>
        <w:rPr>
          <w:rFonts w:ascii="黑体" w:eastAsia="黑体" w:hAnsi="黑体" w:cs="黑体" w:hint="eastAsia"/>
        </w:rPr>
        <w:t>第三十六条</w:t>
      </w:r>
      <w:r>
        <w:t xml:space="preserve">  </w:t>
      </w:r>
      <w:r>
        <w:rPr>
          <w:rFonts w:hint="eastAsia"/>
        </w:rPr>
        <w:t>政府投资基金按照市场化方式独立运作，依据章程或合伙协议约定进行投资、管理和退出。政府投资基金的存续期原则上不得超过</w:t>
      </w:r>
      <w:r>
        <w:t>10</w:t>
      </w:r>
      <w:r>
        <w:rPr>
          <w:rFonts w:hint="eastAsia"/>
        </w:rPr>
        <w:t>年，一般通过</w:t>
      </w:r>
      <w:r>
        <w:t>IPO</w:t>
      </w:r>
      <w:r>
        <w:rPr>
          <w:rFonts w:hint="eastAsia"/>
        </w:rPr>
        <w:t>、股权转让、到期清算、社会股东回购等方式实施退出。确需延长存续期的，须按相关流程进行审批。母基金、子基金存续期一般不得超过政府投资基金存续期。</w:t>
      </w:r>
    </w:p>
    <w:p w:rsidR="007B7891" w:rsidRDefault="007B7891" w:rsidP="00783FEB">
      <w:pPr>
        <w:spacing w:line="580" w:lineRule="exact"/>
        <w:ind w:firstLine="31680"/>
      </w:pPr>
      <w:r>
        <w:rPr>
          <w:rFonts w:ascii="黑体" w:eastAsia="黑体" w:hAnsi="黑体" w:cs="黑体" w:hint="eastAsia"/>
        </w:rPr>
        <w:t>第三十七条</w:t>
      </w:r>
      <w:r>
        <w:t xml:space="preserve">  </w:t>
      </w:r>
      <w:r>
        <w:rPr>
          <w:rFonts w:hint="eastAsia"/>
        </w:rPr>
        <w:t>政府投资基金应与其他出资人在子基金章程或合伙协议中约定。有下列情形之一的，政府投资基金可无需其他出资人同意，选择退出：</w:t>
      </w:r>
    </w:p>
    <w:p w:rsidR="007B7891" w:rsidRDefault="007B7891" w:rsidP="00783FEB">
      <w:pPr>
        <w:spacing w:line="580" w:lineRule="exact"/>
        <w:ind w:firstLine="31680"/>
      </w:pPr>
      <w:r>
        <w:rPr>
          <w:rFonts w:hint="eastAsia"/>
        </w:rPr>
        <w:t>（一）子基金设立方案确认后超过一年，未按规定程序和时间要求完成设立手续的；</w:t>
      </w:r>
    </w:p>
    <w:p w:rsidR="007B7891" w:rsidRDefault="007B7891" w:rsidP="00783FEB">
      <w:pPr>
        <w:spacing w:line="580" w:lineRule="exact"/>
        <w:ind w:firstLine="31680"/>
      </w:pPr>
      <w:r>
        <w:rPr>
          <w:rFonts w:hint="eastAsia"/>
        </w:rPr>
        <w:t>（二）子基金投资领域和方向不符合政策目标的；</w:t>
      </w:r>
    </w:p>
    <w:p w:rsidR="007B7891" w:rsidRDefault="007B7891" w:rsidP="00783FEB">
      <w:pPr>
        <w:spacing w:line="580" w:lineRule="exact"/>
        <w:ind w:firstLine="31680"/>
      </w:pPr>
      <w:r>
        <w:rPr>
          <w:rFonts w:hint="eastAsia"/>
        </w:rPr>
        <w:t>（三）子基金未按照章程或协议约定投资的</w:t>
      </w:r>
      <w:r>
        <w:t>;</w:t>
      </w:r>
    </w:p>
    <w:p w:rsidR="007B7891" w:rsidRDefault="007B7891" w:rsidP="00783FEB">
      <w:pPr>
        <w:spacing w:line="580" w:lineRule="exact"/>
        <w:ind w:firstLine="31680"/>
      </w:pPr>
      <w:r>
        <w:rPr>
          <w:rFonts w:hint="eastAsia"/>
        </w:rPr>
        <w:t>（四）经基金理事会认定的其他不符合章程或协议约定的情形。</w:t>
      </w:r>
    </w:p>
    <w:p w:rsidR="007B7891" w:rsidRDefault="007B7891" w:rsidP="00783FEB">
      <w:pPr>
        <w:spacing w:line="580" w:lineRule="exact"/>
        <w:ind w:firstLine="31680"/>
      </w:pPr>
      <w:r>
        <w:rPr>
          <w:rFonts w:hint="eastAsia"/>
        </w:rPr>
        <w:t>基金管理人配合进行相应变更手续。</w:t>
      </w:r>
    </w:p>
    <w:p w:rsidR="007B7891" w:rsidRDefault="007B7891" w:rsidP="00783FEB">
      <w:pPr>
        <w:spacing w:line="580" w:lineRule="exact"/>
        <w:ind w:firstLine="31680"/>
      </w:pPr>
      <w:r>
        <w:rPr>
          <w:rFonts w:ascii="黑体" w:eastAsia="黑体" w:hAnsi="黑体" w:cs="黑体" w:hint="eastAsia"/>
        </w:rPr>
        <w:t>第三十八条</w:t>
      </w:r>
      <w:r>
        <w:t xml:space="preserve"> </w:t>
      </w:r>
      <w:r>
        <w:rPr>
          <w:rFonts w:hint="eastAsia"/>
        </w:rPr>
        <w:t>母基金中的政府出资部分一般应在投资基金存续期满后退出，如存续期未满已达到预期目标，可通过股权回购等方式适时退出。</w:t>
      </w:r>
    </w:p>
    <w:p w:rsidR="007B7891" w:rsidRDefault="007B7891" w:rsidP="00783FEB">
      <w:pPr>
        <w:spacing w:line="580" w:lineRule="exact"/>
        <w:ind w:firstLine="31680"/>
      </w:pPr>
      <w:r>
        <w:rPr>
          <w:rFonts w:hint="eastAsia"/>
        </w:rPr>
        <w:t>政府投资基金退出部分，应当用于滚动投资。</w:t>
      </w:r>
    </w:p>
    <w:p w:rsidR="007B7891" w:rsidRDefault="007B7891" w:rsidP="00783FEB">
      <w:pPr>
        <w:spacing w:line="580" w:lineRule="exact"/>
        <w:ind w:firstLine="31680"/>
      </w:pPr>
      <w:r>
        <w:rPr>
          <w:rFonts w:ascii="黑体" w:eastAsia="黑体" w:hAnsi="黑体" w:cs="黑体" w:hint="eastAsia"/>
        </w:rPr>
        <w:t>第三十九条</w:t>
      </w:r>
      <w:r>
        <w:t xml:space="preserve">  </w:t>
      </w:r>
      <w:r>
        <w:rPr>
          <w:rFonts w:hint="eastAsia"/>
        </w:rPr>
        <w:t>政府投资基金从相应基金退出时，应当按照章程或合伙协议约定的条件退出；章程或合伙协议没有约定的，应由基金管理人聘请具备资质的资产评估机构对出资权益进行评估，作为确定政府出资资金退出价格的依据。</w:t>
      </w:r>
    </w:p>
    <w:p w:rsidR="007B7891" w:rsidRDefault="007B7891" w:rsidP="00783FEB">
      <w:pPr>
        <w:spacing w:line="580" w:lineRule="exact"/>
        <w:ind w:firstLine="31680"/>
      </w:pPr>
      <w:r>
        <w:rPr>
          <w:rFonts w:ascii="黑体" w:eastAsia="黑体" w:hAnsi="黑体" w:cs="黑体" w:hint="eastAsia"/>
        </w:rPr>
        <w:t>第四十条</w:t>
      </w:r>
      <w:r>
        <w:t xml:space="preserve">  </w:t>
      </w:r>
      <w:r>
        <w:rPr>
          <w:rFonts w:hint="eastAsia"/>
        </w:rPr>
        <w:t>相应基金终止后，应当在政府投资基金出资人监督下组织清算。财政出资额和归属政府的收益，应由区级政府投资基金管理公司拨入基金托管银行专户，并按规定将政府投资基金收益中归属于财政部分上缴区级国库，由区财政统筹安排或用于扩大政府投资基金规模。</w:t>
      </w:r>
    </w:p>
    <w:p w:rsidR="007B7891" w:rsidRDefault="007B7891" w:rsidP="00783FEB">
      <w:pPr>
        <w:ind w:firstLine="31680"/>
      </w:pPr>
    </w:p>
    <w:p w:rsidR="007B7891" w:rsidRDefault="007B7891">
      <w:pPr>
        <w:ind w:firstLineChars="0" w:firstLine="0"/>
        <w:jc w:val="center"/>
        <w:rPr>
          <w:rFonts w:ascii="黑体" w:eastAsia="黑体" w:hAnsi="黑体" w:cs="黑体"/>
        </w:rPr>
      </w:pPr>
      <w:r>
        <w:rPr>
          <w:rFonts w:ascii="黑体" w:eastAsia="黑体" w:hAnsi="黑体" w:cs="黑体" w:hint="eastAsia"/>
        </w:rPr>
        <w:t>第六章</w:t>
      </w:r>
      <w:r>
        <w:rPr>
          <w:rFonts w:ascii="黑体" w:eastAsia="黑体" w:hAnsi="黑体" w:cs="黑体"/>
        </w:rPr>
        <w:t xml:space="preserve"> </w:t>
      </w:r>
      <w:r>
        <w:rPr>
          <w:rFonts w:ascii="黑体" w:eastAsia="黑体" w:hAnsi="黑体" w:cs="黑体" w:hint="eastAsia"/>
        </w:rPr>
        <w:t>风险控制、监督和绩效评价</w:t>
      </w:r>
    </w:p>
    <w:p w:rsidR="007B7891" w:rsidRDefault="007B7891" w:rsidP="00783FEB">
      <w:pPr>
        <w:ind w:firstLine="31680"/>
      </w:pPr>
    </w:p>
    <w:p w:rsidR="007B7891" w:rsidRDefault="007B7891" w:rsidP="00783FEB">
      <w:pPr>
        <w:spacing w:line="580" w:lineRule="exact"/>
        <w:ind w:firstLine="31680"/>
      </w:pPr>
      <w:r>
        <w:rPr>
          <w:rFonts w:ascii="黑体" w:eastAsia="黑体" w:hAnsi="黑体" w:cs="黑体" w:hint="eastAsia"/>
        </w:rPr>
        <w:t>第四十一条</w:t>
      </w:r>
      <w:r>
        <w:t xml:space="preserve">  </w:t>
      </w:r>
      <w:r>
        <w:rPr>
          <w:rFonts w:hint="eastAsia"/>
        </w:rPr>
        <w:t>政府投资基金应当委托符合条件的银行进行托管。托管银行履行下列职责：</w:t>
      </w:r>
    </w:p>
    <w:p w:rsidR="007B7891" w:rsidRDefault="007B7891" w:rsidP="00783FEB">
      <w:pPr>
        <w:spacing w:line="580" w:lineRule="exact"/>
        <w:ind w:firstLine="31680"/>
      </w:pPr>
      <w:r>
        <w:rPr>
          <w:rFonts w:hint="eastAsia"/>
        </w:rPr>
        <w:t>（一）安全保管所托管基金的全部资产；</w:t>
      </w:r>
    </w:p>
    <w:p w:rsidR="007B7891" w:rsidRDefault="007B7891" w:rsidP="00783FEB">
      <w:pPr>
        <w:spacing w:line="580" w:lineRule="exact"/>
        <w:ind w:firstLine="31680"/>
      </w:pPr>
      <w:r>
        <w:rPr>
          <w:rFonts w:hint="eastAsia"/>
        </w:rPr>
        <w:t>（二）执行基金管理人发出的投资指令，负责基金名下的资金往来；</w:t>
      </w:r>
    </w:p>
    <w:p w:rsidR="007B7891" w:rsidRDefault="007B7891" w:rsidP="00783FEB">
      <w:pPr>
        <w:spacing w:line="580" w:lineRule="exact"/>
        <w:ind w:firstLine="31680"/>
      </w:pPr>
      <w:r>
        <w:rPr>
          <w:rFonts w:hint="eastAsia"/>
        </w:rPr>
        <w:t>（三）依据托管协议，发现基金管理人的投资指令违反国家法律法规、基金公司章程或基金持有人大会决议的，不予执行；</w:t>
      </w:r>
    </w:p>
    <w:p w:rsidR="007B7891" w:rsidRDefault="007B7891" w:rsidP="00783FEB">
      <w:pPr>
        <w:spacing w:line="580" w:lineRule="exact"/>
        <w:ind w:firstLine="31680"/>
      </w:pPr>
      <w:r>
        <w:rPr>
          <w:rFonts w:hint="eastAsia"/>
        </w:rPr>
        <w:t>（四）出具基金托管报告，向基金持有人大会报告并提交年度报告；</w:t>
      </w:r>
    </w:p>
    <w:p w:rsidR="007B7891" w:rsidRDefault="007B7891" w:rsidP="00783FEB">
      <w:pPr>
        <w:spacing w:line="580" w:lineRule="exact"/>
        <w:ind w:firstLine="31680"/>
      </w:pPr>
      <w:r>
        <w:rPr>
          <w:rFonts w:hint="eastAsia"/>
        </w:rPr>
        <w:t>（五）基金公司章程、基金托管协议中规定的其他职责。</w:t>
      </w:r>
    </w:p>
    <w:p w:rsidR="007B7891" w:rsidRDefault="007B7891" w:rsidP="00783FEB">
      <w:pPr>
        <w:spacing w:line="580" w:lineRule="exact"/>
        <w:ind w:firstLine="31680"/>
      </w:pPr>
      <w:r>
        <w:rPr>
          <w:rFonts w:ascii="黑体" w:eastAsia="黑体" w:hAnsi="黑体" w:cs="黑体" w:hint="eastAsia"/>
        </w:rPr>
        <w:t>第四十二条</w:t>
      </w:r>
      <w:r>
        <w:t xml:space="preserve">  </w:t>
      </w:r>
      <w:r>
        <w:rPr>
          <w:rFonts w:hint="eastAsia"/>
        </w:rPr>
        <w:t>基金管理人应按照中国证券监督管理委员会、中国证券投资基金业协会等相关规定，进行基金备案、信用信息登记等。</w:t>
      </w:r>
    </w:p>
    <w:p w:rsidR="007B7891" w:rsidRDefault="007B7891" w:rsidP="00783FEB">
      <w:pPr>
        <w:spacing w:line="580" w:lineRule="exact"/>
        <w:ind w:firstLine="31680"/>
      </w:pPr>
      <w:r>
        <w:rPr>
          <w:rFonts w:ascii="黑体" w:eastAsia="黑体" w:hAnsi="黑体" w:cs="黑体" w:hint="eastAsia"/>
        </w:rPr>
        <w:t>第四十三条</w:t>
      </w:r>
      <w:r>
        <w:t xml:space="preserve">  </w:t>
      </w:r>
      <w:r>
        <w:rPr>
          <w:rFonts w:hint="eastAsia"/>
        </w:rPr>
        <w:t>基金理事会按年度对政府投资基金政策目标实现程度、投资运营情况等进行评价，并有效应用绩效评价结果。</w:t>
      </w:r>
    </w:p>
    <w:p w:rsidR="007B7891" w:rsidRDefault="007B7891" w:rsidP="00783FEB">
      <w:pPr>
        <w:spacing w:line="580" w:lineRule="exact"/>
        <w:ind w:firstLine="31680"/>
      </w:pPr>
      <w:r>
        <w:rPr>
          <w:rFonts w:ascii="黑体" w:eastAsia="黑体" w:hAnsi="黑体" w:cs="黑体" w:hint="eastAsia"/>
        </w:rPr>
        <w:t>第四十四条</w:t>
      </w:r>
      <w:r>
        <w:t xml:space="preserve">  </w:t>
      </w:r>
      <w:r>
        <w:rPr>
          <w:rFonts w:hint="eastAsia"/>
        </w:rPr>
        <w:t>基金理事会各成员单位按照相关规定，履行相应职责，促进政府投资基金规范运作，有效防范风险。</w:t>
      </w:r>
    </w:p>
    <w:p w:rsidR="007B7891" w:rsidRDefault="007B7891" w:rsidP="00783FEB">
      <w:pPr>
        <w:spacing w:line="580" w:lineRule="exact"/>
        <w:ind w:firstLine="31680"/>
      </w:pPr>
      <w:r>
        <w:rPr>
          <w:rFonts w:ascii="黑体" w:eastAsia="黑体" w:hAnsi="黑体" w:cs="黑体" w:hint="eastAsia"/>
        </w:rPr>
        <w:t>第四十五条</w:t>
      </w:r>
      <w:r>
        <w:t xml:space="preserve">  </w:t>
      </w:r>
      <w:r>
        <w:rPr>
          <w:rFonts w:hint="eastAsia"/>
        </w:rPr>
        <w:t>政府投资基金应当接受审计部门的监督检查。区审计局根据需要对政府投资基金的整体运行情况进行审计。</w:t>
      </w:r>
    </w:p>
    <w:p w:rsidR="007B7891" w:rsidRDefault="007B7891" w:rsidP="00783FEB">
      <w:pPr>
        <w:spacing w:line="580" w:lineRule="exact"/>
        <w:ind w:firstLine="31680"/>
      </w:pPr>
      <w:r>
        <w:rPr>
          <w:rFonts w:ascii="黑体" w:eastAsia="黑体" w:hAnsi="黑体" w:cs="黑体" w:hint="eastAsia"/>
        </w:rPr>
        <w:t>第四十六条</w:t>
      </w:r>
      <w:r>
        <w:t xml:space="preserve">  </w:t>
      </w:r>
      <w:r>
        <w:rPr>
          <w:rFonts w:hint="eastAsia"/>
        </w:rPr>
        <w:t>区财政局会同有关部门对区级政府投资基金中政府出资运作情况进行年度检查。对于检查中发现的问题按照《财政违法行为处罚处分条例》（国务院令第</w:t>
      </w:r>
      <w:r>
        <w:t>427</w:t>
      </w:r>
      <w:r>
        <w:rPr>
          <w:rFonts w:hint="eastAsia"/>
        </w:rPr>
        <w:t>号）有关规定予以处理。涉嫌犯罪的，移交司法机关追究刑事责任。</w:t>
      </w:r>
    </w:p>
    <w:p w:rsidR="007B7891" w:rsidRDefault="007B7891" w:rsidP="00783FEB">
      <w:pPr>
        <w:spacing w:line="580" w:lineRule="exact"/>
        <w:ind w:firstLine="31680"/>
      </w:pPr>
      <w:r>
        <w:rPr>
          <w:rFonts w:ascii="黑体" w:eastAsia="黑体" w:hAnsi="黑体" w:cs="黑体" w:hint="eastAsia"/>
        </w:rPr>
        <w:t>第四十七条</w:t>
      </w:r>
      <w:r>
        <w:t xml:space="preserve">  </w:t>
      </w:r>
      <w:r>
        <w:rPr>
          <w:rFonts w:hint="eastAsia"/>
        </w:rPr>
        <w:t>在政府投资基金管理运作模式上，鼓励大胆尝试、勇于创新，及时总结经验教训，形成纠偏机制。在项目投资中，对依法合规、决策程序透明、已履职尽责、因政策变动及其他不可抗力因素等导致项目投资失败或损失，未能实现预期目标，且未谋取私利的，应视具体情况容错免责，未经基金理事会同意，有关监管部门不得对项目人员进行追责。</w:t>
      </w:r>
    </w:p>
    <w:p w:rsidR="007B7891" w:rsidRDefault="007B7891" w:rsidP="00783FEB">
      <w:pPr>
        <w:spacing w:line="580" w:lineRule="exact"/>
        <w:ind w:firstLine="31680"/>
      </w:pPr>
      <w:r>
        <w:rPr>
          <w:rFonts w:ascii="黑体" w:eastAsia="黑体" w:hAnsi="黑体" w:cs="黑体" w:hint="eastAsia"/>
        </w:rPr>
        <w:t>第四十八条</w:t>
      </w:r>
      <w:r>
        <w:t xml:space="preserve">  </w:t>
      </w:r>
      <w:r>
        <w:rPr>
          <w:rFonts w:hint="eastAsia"/>
        </w:rPr>
        <w:t>基金管理人应及时对基金运行情况进行汇总，定期向基金理事会办公室提交政府投资基金运营报告，并报告投资收益或亏损情况等重大事项。</w:t>
      </w:r>
    </w:p>
    <w:p w:rsidR="007B7891" w:rsidRDefault="007B7891" w:rsidP="00783FEB">
      <w:pPr>
        <w:spacing w:line="580" w:lineRule="exact"/>
        <w:ind w:firstLine="31680"/>
      </w:pPr>
      <w:r>
        <w:rPr>
          <w:rFonts w:ascii="黑体" w:eastAsia="黑体" w:hAnsi="黑体" w:cs="黑体" w:hint="eastAsia"/>
        </w:rPr>
        <w:t>第四十九条</w:t>
      </w:r>
      <w:r>
        <w:t xml:space="preserve">  </w:t>
      </w:r>
      <w:r>
        <w:rPr>
          <w:rFonts w:hint="eastAsia"/>
        </w:rPr>
        <w:t>基金管理人建立对子基金、被投资企业的监督管理机制，密切跟踪其经营和财务状况，防范财务风险。</w:t>
      </w:r>
    </w:p>
    <w:p w:rsidR="007B7891" w:rsidRDefault="007B7891" w:rsidP="00783FEB">
      <w:pPr>
        <w:spacing w:line="580" w:lineRule="exact"/>
        <w:ind w:firstLine="31680"/>
      </w:pPr>
      <w:r>
        <w:rPr>
          <w:rFonts w:ascii="黑体" w:eastAsia="黑体" w:hAnsi="黑体" w:cs="黑体" w:hint="eastAsia"/>
        </w:rPr>
        <w:t>第五十条</w:t>
      </w:r>
      <w:r>
        <w:t xml:space="preserve">  </w:t>
      </w:r>
      <w:r>
        <w:rPr>
          <w:rFonts w:hint="eastAsia"/>
        </w:rPr>
        <w:t>基金管理人在每年度结束后的</w:t>
      </w:r>
      <w:r>
        <w:t>4</w:t>
      </w:r>
      <w:r>
        <w:rPr>
          <w:rFonts w:hint="eastAsia"/>
        </w:rPr>
        <w:t>个月内，向基金理事会办公室提交基金年度运营报告。</w:t>
      </w:r>
    </w:p>
    <w:p w:rsidR="007B7891" w:rsidRDefault="007B7891" w:rsidP="00783FEB">
      <w:pPr>
        <w:ind w:firstLine="31680"/>
      </w:pPr>
    </w:p>
    <w:p w:rsidR="007B7891" w:rsidRDefault="007B7891">
      <w:pPr>
        <w:ind w:firstLineChars="0" w:firstLine="0"/>
        <w:jc w:val="center"/>
        <w:rPr>
          <w:rFonts w:ascii="黑体" w:eastAsia="黑体" w:hAnsi="黑体" w:cs="黑体"/>
        </w:rPr>
      </w:pPr>
      <w:r>
        <w:rPr>
          <w:rFonts w:ascii="黑体" w:eastAsia="黑体" w:hAnsi="黑体" w:cs="黑体" w:hint="eastAsia"/>
        </w:rPr>
        <w:t>第七章</w:t>
      </w:r>
      <w:r>
        <w:rPr>
          <w:rFonts w:ascii="黑体" w:eastAsia="黑体" w:hAnsi="黑体" w:cs="黑体"/>
        </w:rPr>
        <w:t xml:space="preserve">  </w:t>
      </w:r>
      <w:r>
        <w:rPr>
          <w:rFonts w:ascii="黑体" w:eastAsia="黑体" w:hAnsi="黑体" w:cs="黑体" w:hint="eastAsia"/>
        </w:rPr>
        <w:t>附则</w:t>
      </w:r>
    </w:p>
    <w:p w:rsidR="007B7891" w:rsidRDefault="007B7891" w:rsidP="00783FEB">
      <w:pPr>
        <w:ind w:firstLine="31680"/>
      </w:pPr>
    </w:p>
    <w:p w:rsidR="007B7891" w:rsidRDefault="007B7891" w:rsidP="00783FEB">
      <w:pPr>
        <w:spacing w:line="580" w:lineRule="exact"/>
        <w:ind w:firstLine="31680"/>
      </w:pPr>
      <w:r>
        <w:rPr>
          <w:rFonts w:ascii="黑体" w:eastAsia="黑体" w:hAnsi="黑体" w:cs="黑体" w:hint="eastAsia"/>
        </w:rPr>
        <w:t>第五十一条</w:t>
      </w:r>
      <w:r>
        <w:t xml:space="preserve">  </w:t>
      </w:r>
      <w:r>
        <w:rPr>
          <w:rFonts w:hint="eastAsia"/>
        </w:rPr>
        <w:t>本办法由区政府金融工作中心会同相关部门负责解释。</w:t>
      </w:r>
    </w:p>
    <w:p w:rsidR="007B7891" w:rsidRDefault="007B7891" w:rsidP="00783FEB">
      <w:pPr>
        <w:spacing w:line="580" w:lineRule="exact"/>
        <w:ind w:firstLine="31680"/>
      </w:pPr>
      <w:r>
        <w:rPr>
          <w:rFonts w:hint="eastAsia"/>
        </w:rPr>
        <w:t>其他未尽事宜，将结合基金运行实际，并根据上级党委、政府具体工作要求进行制定和调整。</w:t>
      </w:r>
    </w:p>
    <w:p w:rsidR="007B7891" w:rsidRDefault="007B7891" w:rsidP="00783FEB">
      <w:pPr>
        <w:spacing w:line="580" w:lineRule="exact"/>
        <w:ind w:firstLine="31680"/>
      </w:pPr>
      <w:r>
        <w:rPr>
          <w:rFonts w:hint="eastAsia"/>
        </w:rPr>
        <w:t>基金理事会办公室可根据本办法制定相关制度。</w:t>
      </w:r>
    </w:p>
    <w:p w:rsidR="007B7891" w:rsidRDefault="007B7891">
      <w:pPr>
        <w:ind w:firstLineChars="0" w:firstLine="0"/>
      </w:pPr>
    </w:p>
    <w:sectPr w:rsidR="007B7891" w:rsidSect="007520DA">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7891" w:rsidRDefault="007B7891" w:rsidP="00E631A5">
      <w:pPr>
        <w:spacing w:line="240" w:lineRule="auto"/>
        <w:ind w:firstLine="31680"/>
      </w:pPr>
      <w:r>
        <w:separator/>
      </w:r>
    </w:p>
  </w:endnote>
  <w:endnote w:type="continuationSeparator" w:id="0">
    <w:p w:rsidR="007B7891" w:rsidRDefault="007B7891" w:rsidP="00E631A5">
      <w:pPr>
        <w:spacing w:line="240" w:lineRule="auto"/>
        <w:ind w:firstLine="316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es New Roma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um"/>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简体">
    <w:altName w:val="微软雅黑"/>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891" w:rsidRDefault="007B7891" w:rsidP="00E631A5">
    <w:pPr>
      <w:pStyle w:val="Footer"/>
      <w:ind w:firstLine="3168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891" w:rsidRDefault="007B7891" w:rsidP="00E631A5">
    <w:pPr>
      <w:pStyle w:val="Footer"/>
      <w:ind w:firstLine="31680"/>
    </w:pPr>
    <w:r>
      <w:rPr>
        <w:noProof/>
      </w:rPr>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251660288;mso-wrap-style:none;mso-position-horizontal:center;mso-position-horizontal-relative:margin" filled="f" stroked="f" strokeweight=".5pt">
          <v:textbox style="mso-fit-shape-to-text:t" inset="0,0,0,0">
            <w:txbxContent>
              <w:p w:rsidR="007B7891" w:rsidRDefault="007B7891" w:rsidP="00783FEB">
                <w:pPr>
                  <w:pStyle w:val="Footer"/>
                  <w:ind w:firstLine="31680"/>
                </w:pPr>
                <w:fldSimple w:instr=" PAGE  \* MERGEFORMAT ">
                  <w:r>
                    <w:rPr>
                      <w:noProof/>
                    </w:rPr>
                    <w:t>1</w:t>
                  </w:r>
                </w:fldSimple>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891" w:rsidRDefault="007B7891" w:rsidP="00E631A5">
    <w:pPr>
      <w:pStyle w:val="Footer"/>
      <w:ind w:firstLine="3168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7891" w:rsidRDefault="007B7891" w:rsidP="00E631A5">
      <w:pPr>
        <w:spacing w:line="240" w:lineRule="auto"/>
        <w:ind w:firstLine="31680"/>
      </w:pPr>
      <w:r>
        <w:separator/>
      </w:r>
    </w:p>
  </w:footnote>
  <w:footnote w:type="continuationSeparator" w:id="0">
    <w:p w:rsidR="007B7891" w:rsidRDefault="007B7891" w:rsidP="00E631A5">
      <w:pPr>
        <w:spacing w:line="240" w:lineRule="auto"/>
        <w:ind w:firstLine="316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891" w:rsidRDefault="007B7891" w:rsidP="00E631A5">
    <w:pPr>
      <w:pStyle w:val="Header"/>
      <w:pBdr>
        <w:top w:val="none" w:sz="0" w:space="0" w:color="auto"/>
        <w:left w:val="none" w:sz="0" w:space="0" w:color="auto"/>
        <w:bottom w:val="none" w:sz="0" w:space="0" w:color="auto"/>
        <w:right w:val="none" w:sz="0" w:space="0" w:color="auto"/>
      </w:pBdr>
      <w:ind w:firstLine="3168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891" w:rsidRDefault="007B7891" w:rsidP="00E631A5">
    <w:pPr>
      <w:pStyle w:val="Header"/>
      <w:pBdr>
        <w:top w:val="none" w:sz="0" w:space="0" w:color="auto"/>
        <w:left w:val="none" w:sz="0" w:space="0" w:color="auto"/>
        <w:bottom w:val="none" w:sz="0" w:space="0" w:color="auto"/>
        <w:right w:val="none" w:sz="0" w:space="0" w:color="auto"/>
      </w:pBdr>
      <w:ind w:firstLine="3168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891" w:rsidRDefault="007B7891" w:rsidP="00E631A5">
    <w:pPr>
      <w:pStyle w:val="Header"/>
      <w:pBdr>
        <w:top w:val="none" w:sz="0" w:space="0" w:color="auto"/>
        <w:left w:val="none" w:sz="0" w:space="0" w:color="auto"/>
        <w:bottom w:val="none" w:sz="0" w:space="0" w:color="auto"/>
        <w:right w:val="none" w:sz="0" w:space="0" w:color="auto"/>
      </w:pBdr>
      <w:ind w:firstLine="3168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YTY2ZDUxYTA5MzMzZjVlNDg1MzgwYmMxMDNjOTJmYjMifQ=="/>
  </w:docVars>
  <w:rsids>
    <w:rsidRoot w:val="00641395"/>
    <w:rsid w:val="0004555A"/>
    <w:rsid w:val="0005756D"/>
    <w:rsid w:val="00093490"/>
    <w:rsid w:val="000A6890"/>
    <w:rsid w:val="000A6F06"/>
    <w:rsid w:val="000E58DF"/>
    <w:rsid w:val="000E743E"/>
    <w:rsid w:val="00146718"/>
    <w:rsid w:val="001731EF"/>
    <w:rsid w:val="00176C83"/>
    <w:rsid w:val="001E671C"/>
    <w:rsid w:val="001F78E6"/>
    <w:rsid w:val="002155FF"/>
    <w:rsid w:val="0022791A"/>
    <w:rsid w:val="00231083"/>
    <w:rsid w:val="002440B1"/>
    <w:rsid w:val="0024533B"/>
    <w:rsid w:val="00250A12"/>
    <w:rsid w:val="0026139C"/>
    <w:rsid w:val="002D28CB"/>
    <w:rsid w:val="002E7376"/>
    <w:rsid w:val="002F33D1"/>
    <w:rsid w:val="00322486"/>
    <w:rsid w:val="003378EB"/>
    <w:rsid w:val="003A0C13"/>
    <w:rsid w:val="003A0C2D"/>
    <w:rsid w:val="003F66F6"/>
    <w:rsid w:val="004635E5"/>
    <w:rsid w:val="00474A56"/>
    <w:rsid w:val="004F516A"/>
    <w:rsid w:val="005506D0"/>
    <w:rsid w:val="00593B05"/>
    <w:rsid w:val="005D2764"/>
    <w:rsid w:val="005E005B"/>
    <w:rsid w:val="00600666"/>
    <w:rsid w:val="00604527"/>
    <w:rsid w:val="00641395"/>
    <w:rsid w:val="00647676"/>
    <w:rsid w:val="00681476"/>
    <w:rsid w:val="0069112E"/>
    <w:rsid w:val="006A7D07"/>
    <w:rsid w:val="0070016D"/>
    <w:rsid w:val="00731468"/>
    <w:rsid w:val="007520DA"/>
    <w:rsid w:val="0077146D"/>
    <w:rsid w:val="00783FEB"/>
    <w:rsid w:val="007A07E7"/>
    <w:rsid w:val="007A7FAF"/>
    <w:rsid w:val="007B2DF9"/>
    <w:rsid w:val="007B7891"/>
    <w:rsid w:val="007D23D1"/>
    <w:rsid w:val="0082396F"/>
    <w:rsid w:val="00826FE6"/>
    <w:rsid w:val="00835357"/>
    <w:rsid w:val="00860513"/>
    <w:rsid w:val="0088647B"/>
    <w:rsid w:val="0092150D"/>
    <w:rsid w:val="00932189"/>
    <w:rsid w:val="0095218E"/>
    <w:rsid w:val="00997F12"/>
    <w:rsid w:val="009C212A"/>
    <w:rsid w:val="009D6D11"/>
    <w:rsid w:val="00A20C7D"/>
    <w:rsid w:val="00A556B9"/>
    <w:rsid w:val="00A70347"/>
    <w:rsid w:val="00A92123"/>
    <w:rsid w:val="00AF7AB9"/>
    <w:rsid w:val="00B16647"/>
    <w:rsid w:val="00B92969"/>
    <w:rsid w:val="00BA25AE"/>
    <w:rsid w:val="00BF6109"/>
    <w:rsid w:val="00C831AA"/>
    <w:rsid w:val="00CA3681"/>
    <w:rsid w:val="00CD3D2F"/>
    <w:rsid w:val="00CE123F"/>
    <w:rsid w:val="00CE2D89"/>
    <w:rsid w:val="00CF3B0F"/>
    <w:rsid w:val="00D016AF"/>
    <w:rsid w:val="00D03EAA"/>
    <w:rsid w:val="00D144AE"/>
    <w:rsid w:val="00D23891"/>
    <w:rsid w:val="00D52A36"/>
    <w:rsid w:val="00D75375"/>
    <w:rsid w:val="00DA147C"/>
    <w:rsid w:val="00DB7145"/>
    <w:rsid w:val="00DC06EF"/>
    <w:rsid w:val="00E631A5"/>
    <w:rsid w:val="00E97681"/>
    <w:rsid w:val="00EB6ABE"/>
    <w:rsid w:val="00EB7832"/>
    <w:rsid w:val="00EC7758"/>
    <w:rsid w:val="00EC7B6B"/>
    <w:rsid w:val="00EE5268"/>
    <w:rsid w:val="00EF18D1"/>
    <w:rsid w:val="00F13895"/>
    <w:rsid w:val="00F36721"/>
    <w:rsid w:val="00F418C3"/>
    <w:rsid w:val="00F51597"/>
    <w:rsid w:val="00F704DE"/>
    <w:rsid w:val="00FA47CD"/>
    <w:rsid w:val="00FD7468"/>
    <w:rsid w:val="0A6D7B38"/>
    <w:rsid w:val="2074487C"/>
    <w:rsid w:val="26265313"/>
    <w:rsid w:val="32807B59"/>
    <w:rsid w:val="34420BEC"/>
    <w:rsid w:val="3F5771BF"/>
    <w:rsid w:val="4DC7119A"/>
    <w:rsid w:val="52256E16"/>
    <w:rsid w:val="52A36A4A"/>
    <w:rsid w:val="59C11A91"/>
    <w:rsid w:val="5A8A34E8"/>
    <w:rsid w:val="5C7A6342"/>
    <w:rsid w:val="5F592C49"/>
    <w:rsid w:val="5F9365D5"/>
    <w:rsid w:val="63584057"/>
    <w:rsid w:val="63F947D5"/>
    <w:rsid w:val="67F325A0"/>
    <w:rsid w:val="6AD14E1A"/>
    <w:rsid w:val="6CD97FB6"/>
    <w:rsid w:val="6E0C7251"/>
    <w:rsid w:val="6EE7040B"/>
    <w:rsid w:val="71642CC9"/>
    <w:rsid w:val="772A7FAE"/>
    <w:rsid w:val="7A3E2EE7"/>
    <w:rsid w:val="7BB06386"/>
    <w:rsid w:val="7BF7220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semiHidden="1" w:unhideWhenUsed="1"/>
    <w:lsdException w:name="Table Grid" w:uiPriority="59"/>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20DA"/>
    <w:pPr>
      <w:widowControl w:val="0"/>
      <w:spacing w:line="600" w:lineRule="exact"/>
      <w:ind w:firstLineChars="200" w:firstLine="420"/>
      <w:jc w:val="both"/>
    </w:pPr>
    <w:rPr>
      <w:rFonts w:ascii="仿宋" w:eastAsia="仿宋" w:hAnsi="仿宋" w:cs="仿宋"/>
      <w:sz w:val="32"/>
      <w:szCs w:val="24"/>
    </w:rPr>
  </w:style>
  <w:style w:type="paragraph" w:styleId="Heading1">
    <w:name w:val="heading 1"/>
    <w:basedOn w:val="Title"/>
    <w:next w:val="Heading2"/>
    <w:link w:val="Heading1Char"/>
    <w:uiPriority w:val="99"/>
    <w:qFormat/>
    <w:rsid w:val="007520DA"/>
    <w:pPr>
      <w:keepNext/>
      <w:keepLines/>
      <w:spacing w:line="570" w:lineRule="exact"/>
      <w:jc w:val="both"/>
    </w:pPr>
    <w:rPr>
      <w:rFonts w:ascii="Times New Roman" w:eastAsia="黑体" w:hAnsi="Times New Roman"/>
      <w:b w:val="0"/>
      <w:color w:val="000000"/>
      <w:kern w:val="44"/>
    </w:rPr>
  </w:style>
  <w:style w:type="paragraph" w:styleId="Heading2">
    <w:name w:val="heading 2"/>
    <w:basedOn w:val="Normal"/>
    <w:next w:val="Normal"/>
    <w:link w:val="Heading2Char"/>
    <w:uiPriority w:val="99"/>
    <w:qFormat/>
    <w:rsid w:val="007520DA"/>
    <w:pPr>
      <w:keepNext/>
      <w:keepLines/>
      <w:spacing w:before="260" w:after="260" w:line="413" w:lineRule="auto"/>
      <w:outlineLvl w:val="1"/>
    </w:pPr>
    <w:rPr>
      <w:rFonts w:ascii="Arial" w:eastAsia="黑体" w:hAnsi="Arial"/>
      <w: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26B2"/>
    <w:rPr>
      <w:rFonts w:ascii="仿宋" w:eastAsia="仿宋" w:hAnsi="仿宋" w:cs="仿宋"/>
      <w:b/>
      <w:bCs/>
      <w:kern w:val="44"/>
      <w:sz w:val="44"/>
      <w:szCs w:val="44"/>
    </w:rPr>
  </w:style>
  <w:style w:type="character" w:customStyle="1" w:styleId="Heading2Char">
    <w:name w:val="Heading 2 Char"/>
    <w:basedOn w:val="DefaultParagraphFont"/>
    <w:link w:val="Heading2"/>
    <w:uiPriority w:val="9"/>
    <w:semiHidden/>
    <w:rsid w:val="005F26B2"/>
    <w:rPr>
      <w:rFonts w:asciiTheme="majorHAnsi" w:eastAsiaTheme="majorEastAsia" w:hAnsiTheme="majorHAnsi" w:cstheme="majorBidi"/>
      <w:b/>
      <w:bCs/>
      <w:sz w:val="32"/>
      <w:szCs w:val="32"/>
    </w:rPr>
  </w:style>
  <w:style w:type="paragraph" w:styleId="Title">
    <w:name w:val="Title"/>
    <w:basedOn w:val="Normal"/>
    <w:link w:val="TitleChar"/>
    <w:uiPriority w:val="99"/>
    <w:qFormat/>
    <w:rsid w:val="007520DA"/>
    <w:pPr>
      <w:spacing w:before="240" w:after="60"/>
      <w:jc w:val="center"/>
      <w:outlineLvl w:val="0"/>
    </w:pPr>
    <w:rPr>
      <w:rFonts w:ascii="Arial" w:hAnsi="Arial"/>
      <w:b/>
    </w:rPr>
  </w:style>
  <w:style w:type="character" w:customStyle="1" w:styleId="TitleChar">
    <w:name w:val="Title Char"/>
    <w:basedOn w:val="DefaultParagraphFont"/>
    <w:link w:val="Title"/>
    <w:uiPriority w:val="10"/>
    <w:rsid w:val="005F26B2"/>
    <w:rPr>
      <w:rFonts w:asciiTheme="majorHAnsi" w:hAnsiTheme="majorHAnsi" w:cstheme="majorBidi"/>
      <w:b/>
      <w:bCs/>
      <w:sz w:val="32"/>
      <w:szCs w:val="32"/>
    </w:rPr>
  </w:style>
  <w:style w:type="paragraph" w:styleId="CommentText">
    <w:name w:val="annotation text"/>
    <w:basedOn w:val="Normal"/>
    <w:link w:val="CommentTextChar"/>
    <w:uiPriority w:val="99"/>
    <w:rsid w:val="007520DA"/>
    <w:pPr>
      <w:jc w:val="left"/>
    </w:pPr>
  </w:style>
  <w:style w:type="character" w:customStyle="1" w:styleId="CommentTextChar">
    <w:name w:val="Comment Text Char"/>
    <w:basedOn w:val="DefaultParagraphFont"/>
    <w:link w:val="CommentText"/>
    <w:uiPriority w:val="99"/>
    <w:locked/>
    <w:rsid w:val="007520DA"/>
    <w:rPr>
      <w:rFonts w:ascii="仿宋" w:eastAsia="仿宋" w:hAnsi="仿宋" w:cs="仿宋"/>
      <w:kern w:val="2"/>
      <w:sz w:val="24"/>
      <w:szCs w:val="24"/>
    </w:rPr>
  </w:style>
  <w:style w:type="paragraph" w:styleId="Footer">
    <w:name w:val="footer"/>
    <w:basedOn w:val="Normal"/>
    <w:link w:val="FooterChar"/>
    <w:uiPriority w:val="99"/>
    <w:rsid w:val="007520DA"/>
    <w:pPr>
      <w:tabs>
        <w:tab w:val="center" w:pos="4153"/>
        <w:tab w:val="right" w:pos="8306"/>
      </w:tabs>
      <w:snapToGrid w:val="0"/>
      <w:spacing w:line="240" w:lineRule="atLeast"/>
      <w:jc w:val="left"/>
    </w:pPr>
    <w:rPr>
      <w:sz w:val="18"/>
      <w:szCs w:val="18"/>
    </w:rPr>
  </w:style>
  <w:style w:type="character" w:customStyle="1" w:styleId="FooterChar">
    <w:name w:val="Footer Char"/>
    <w:basedOn w:val="DefaultParagraphFont"/>
    <w:link w:val="Footer"/>
    <w:uiPriority w:val="99"/>
    <w:locked/>
    <w:rsid w:val="007520DA"/>
    <w:rPr>
      <w:rFonts w:ascii="仿宋" w:eastAsia="仿宋" w:hAnsi="仿宋" w:cs="仿宋"/>
      <w:kern w:val="2"/>
      <w:sz w:val="18"/>
      <w:szCs w:val="18"/>
    </w:rPr>
  </w:style>
  <w:style w:type="paragraph" w:styleId="Header">
    <w:name w:val="header"/>
    <w:basedOn w:val="Normal"/>
    <w:link w:val="HeaderChar"/>
    <w:uiPriority w:val="99"/>
    <w:rsid w:val="007520DA"/>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character" w:customStyle="1" w:styleId="HeaderChar">
    <w:name w:val="Header Char"/>
    <w:basedOn w:val="DefaultParagraphFont"/>
    <w:link w:val="Header"/>
    <w:uiPriority w:val="99"/>
    <w:semiHidden/>
    <w:rsid w:val="005F26B2"/>
    <w:rPr>
      <w:rFonts w:ascii="仿宋" w:eastAsia="仿宋" w:hAnsi="仿宋" w:cs="仿宋"/>
      <w:sz w:val="18"/>
      <w:szCs w:val="18"/>
    </w:rPr>
  </w:style>
  <w:style w:type="paragraph" w:styleId="CommentSubject">
    <w:name w:val="annotation subject"/>
    <w:basedOn w:val="CommentText"/>
    <w:next w:val="CommentText"/>
    <w:link w:val="CommentSubjectChar"/>
    <w:uiPriority w:val="99"/>
    <w:rsid w:val="007520DA"/>
    <w:rPr>
      <w:b/>
      <w:bCs/>
    </w:rPr>
  </w:style>
  <w:style w:type="character" w:customStyle="1" w:styleId="CommentSubjectChar">
    <w:name w:val="Comment Subject Char"/>
    <w:basedOn w:val="CommentTextChar"/>
    <w:link w:val="CommentSubject"/>
    <w:uiPriority w:val="99"/>
    <w:locked/>
    <w:rsid w:val="007520DA"/>
    <w:rPr>
      <w:b/>
      <w:bCs/>
    </w:rPr>
  </w:style>
  <w:style w:type="character" w:styleId="CommentReference">
    <w:name w:val="annotation reference"/>
    <w:basedOn w:val="DefaultParagraphFont"/>
    <w:uiPriority w:val="99"/>
    <w:rsid w:val="007520DA"/>
    <w:rPr>
      <w:rFonts w:cs="Times New Roman"/>
      <w:sz w:val="21"/>
      <w:szCs w:val="21"/>
    </w:rPr>
  </w:style>
  <w:style w:type="paragraph" w:customStyle="1" w:styleId="1">
    <w:name w:val="修订1"/>
    <w:hidden/>
    <w:uiPriority w:val="99"/>
    <w:semiHidden/>
    <w:rsid w:val="007520DA"/>
    <w:rPr>
      <w:rFonts w:ascii="仿宋" w:eastAsia="仿宋" w:hAnsi="仿宋" w:cs="仿宋"/>
      <w:sz w:val="32"/>
      <w:szCs w:val="24"/>
    </w:rPr>
  </w:style>
  <w:style w:type="paragraph" w:customStyle="1" w:styleId="Revision1">
    <w:name w:val="Revision1"/>
    <w:hidden/>
    <w:uiPriority w:val="99"/>
    <w:semiHidden/>
    <w:rsid w:val="007520DA"/>
    <w:rPr>
      <w:rFonts w:ascii="仿宋" w:eastAsia="仿宋" w:hAnsi="仿宋" w:cs="仿宋"/>
      <w:sz w:val="3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TotalTime>
  <Pages>14</Pages>
  <Words>969</Words>
  <Characters>5525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微软用户</cp:lastModifiedBy>
  <cp:revision>9</cp:revision>
  <cp:lastPrinted>2023-06-26T07:26:00Z</cp:lastPrinted>
  <dcterms:created xsi:type="dcterms:W3CDTF">2023-06-26T07:26:00Z</dcterms:created>
  <dcterms:modified xsi:type="dcterms:W3CDTF">2023-07-18T02:29:00Z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0743937FD73346D9A515B57E56F5CA4C_13</vt:lpwstr>
  </property>
</Properties>
</file>