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3D" w:rsidRDefault="00415E45">
      <w:pPr>
        <w:shd w:val="clear" w:color="auto" w:fill="FFFFFF"/>
        <w:wordWrap w:val="0"/>
        <w:overflowPunct w:val="0"/>
        <w:spacing w:line="576" w:lineRule="exact"/>
        <w:jc w:val="left"/>
        <w:rPr>
          <w:rStyle w:val="2Char"/>
          <w:rFonts w:ascii="仿宋" w:eastAsia="仿宋" w:hAnsi="仿宋" w:cs="仿宋"/>
        </w:rPr>
      </w:pPr>
      <w:bookmarkStart w:id="0" w:name="_Toc119490111"/>
      <w:bookmarkStart w:id="1" w:name="_Toc11776"/>
      <w:r>
        <w:rPr>
          <w:rStyle w:val="2Char"/>
          <w:rFonts w:ascii="方正黑体_GBK" w:eastAsia="方正黑体_GBK" w:hAnsi="方正黑体_GBK" w:cs="方正黑体_GBK" w:hint="eastAsia"/>
          <w:b w:val="0"/>
          <w:bCs/>
        </w:rPr>
        <w:t>附件</w:t>
      </w:r>
      <w:r>
        <w:rPr>
          <w:rStyle w:val="2Char"/>
          <w:rFonts w:ascii="方正黑体_GBK" w:eastAsia="方正黑体_GBK" w:hAnsi="方正黑体_GBK" w:cs="方正黑体_GBK" w:hint="eastAsia"/>
          <w:b w:val="0"/>
          <w:bCs/>
        </w:rPr>
        <w:t xml:space="preserve">7   </w:t>
      </w:r>
      <w:r>
        <w:rPr>
          <w:rStyle w:val="2Char"/>
          <w:rFonts w:ascii="仿宋" w:eastAsia="仿宋" w:hAnsi="仿宋" w:cs="仿宋" w:hint="eastAsia"/>
        </w:rPr>
        <w:t xml:space="preserve">    </w:t>
      </w:r>
    </w:p>
    <w:p w:rsidR="00D4693D" w:rsidRDefault="00415E45">
      <w:pPr>
        <w:shd w:val="clear" w:color="auto" w:fill="FFFFFF"/>
        <w:wordWrap w:val="0"/>
        <w:overflowPunct w:val="0"/>
        <w:spacing w:line="576" w:lineRule="exact"/>
        <w:jc w:val="center"/>
        <w:rPr>
          <w:rStyle w:val="2Char"/>
          <w:rFonts w:ascii="方正小标宋简体" w:eastAsia="方正小标宋简体" w:hAnsi="方正小标宋简体" w:cs="方正小标宋简体"/>
          <w:b w:val="0"/>
          <w:bCs/>
          <w:sz w:val="44"/>
          <w:szCs w:val="44"/>
        </w:rPr>
      </w:pPr>
      <w:r>
        <w:rPr>
          <w:rStyle w:val="2Char"/>
          <w:rFonts w:ascii="方正小标宋简体" w:eastAsia="方正小标宋简体" w:hAnsi="方正小标宋简体" w:cs="方正小标宋简体" w:hint="eastAsia"/>
          <w:b w:val="0"/>
          <w:bCs/>
          <w:sz w:val="44"/>
          <w:szCs w:val="44"/>
        </w:rPr>
        <w:t>上党区大面积停电事件即时报告单</w:t>
      </w:r>
      <w:bookmarkEnd w:id="0"/>
    </w:p>
    <w:tbl>
      <w:tblPr>
        <w:tblW w:w="504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57"/>
        <w:gridCol w:w="1171"/>
        <w:gridCol w:w="2089"/>
        <w:gridCol w:w="2423"/>
        <w:gridCol w:w="1405"/>
        <w:gridCol w:w="1684"/>
      </w:tblGrid>
      <w:tr w:rsidR="00D4693D">
        <w:trPr>
          <w:trHeight w:val="340"/>
          <w:jc w:val="center"/>
        </w:trPr>
        <w:tc>
          <w:tcPr>
            <w:tcW w:w="348" w:type="pct"/>
            <w:tcBorders>
              <w:top w:val="single" w:sz="8" w:space="0" w:color="auto"/>
              <w:left w:val="single" w:sz="8" w:space="0" w:color="auto"/>
              <w:bottom w:val="single" w:sz="4" w:space="0" w:color="auto"/>
              <w:right w:val="single" w:sz="4" w:space="0" w:color="auto"/>
              <w:tl2br w:val="single" w:sz="4" w:space="0" w:color="auto"/>
            </w:tcBorders>
            <w:noWrap/>
            <w:tcMar>
              <w:top w:w="40" w:type="dxa"/>
              <w:left w:w="0" w:type="dxa"/>
              <w:bottom w:w="40" w:type="dxa"/>
              <w:right w:w="0" w:type="dxa"/>
            </w:tcMar>
            <w:vAlign w:val="center"/>
          </w:tcPr>
          <w:bookmarkEnd w:id="1"/>
          <w:p w:rsidR="00D4693D" w:rsidRDefault="00415E45">
            <w:pPr>
              <w:pStyle w:val="bgg"/>
              <w:spacing w:line="200" w:lineRule="exact"/>
              <w:ind w:leftChars="0" w:left="0" w:rightChars="0" w:right="0"/>
              <w:jc w:val="right"/>
              <w:rPr>
                <w:sz w:val="18"/>
                <w:szCs w:val="18"/>
              </w:rPr>
            </w:pPr>
            <w:r>
              <w:rPr>
                <w:rFonts w:hint="eastAsia"/>
                <w:sz w:val="18"/>
                <w:szCs w:val="18"/>
              </w:rPr>
              <w:t>内容</w:t>
            </w:r>
          </w:p>
          <w:p w:rsidR="00D4693D" w:rsidRDefault="00415E45">
            <w:pPr>
              <w:pStyle w:val="bgg"/>
              <w:spacing w:line="200" w:lineRule="exact"/>
              <w:ind w:leftChars="0" w:left="0" w:rightChars="0" w:right="0"/>
              <w:jc w:val="both"/>
              <w:rPr>
                <w:sz w:val="18"/>
                <w:szCs w:val="18"/>
              </w:rPr>
            </w:pPr>
            <w:r>
              <w:rPr>
                <w:rFonts w:hint="eastAsia"/>
                <w:sz w:val="18"/>
                <w:szCs w:val="18"/>
              </w:rPr>
              <w:t>序号</w:t>
            </w:r>
          </w:p>
        </w:tc>
        <w:tc>
          <w:tcPr>
            <w:tcW w:w="4652" w:type="pct"/>
            <w:gridSpan w:val="5"/>
            <w:tcBorders>
              <w:top w:val="single" w:sz="8" w:space="0" w:color="auto"/>
              <w:left w:val="single" w:sz="4" w:space="0" w:color="auto"/>
              <w:bottom w:val="single" w:sz="4" w:space="0" w:color="auto"/>
              <w:right w:val="single" w:sz="8" w:space="0" w:color="auto"/>
            </w:tcBorders>
            <w:noWrap/>
            <w:tcMar>
              <w:top w:w="40" w:type="dxa"/>
              <w:bottom w:w="4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报告内容</w:t>
            </w:r>
          </w:p>
        </w:tc>
      </w:tr>
      <w:tr w:rsidR="00D4693D">
        <w:trPr>
          <w:jc w:val="center"/>
        </w:trPr>
        <w:tc>
          <w:tcPr>
            <w:tcW w:w="348" w:type="pc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1</w:t>
            </w:r>
          </w:p>
        </w:tc>
        <w:tc>
          <w:tcPr>
            <w:tcW w:w="621" w:type="pc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报告类型</w:t>
            </w:r>
          </w:p>
        </w:tc>
        <w:tc>
          <w:tcPr>
            <w:tcW w:w="4030" w:type="pct"/>
            <w:gridSpan w:val="4"/>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415E45">
            <w:pPr>
              <w:pStyle w:val="bgg"/>
              <w:spacing w:line="200" w:lineRule="exact"/>
              <w:ind w:leftChars="0" w:left="0" w:rightChars="0" w:right="0" w:firstLineChars="100" w:firstLine="180"/>
              <w:jc w:val="both"/>
              <w:rPr>
                <w:sz w:val="18"/>
                <w:szCs w:val="18"/>
              </w:rPr>
            </w:pPr>
            <w:r>
              <w:rPr>
                <w:rFonts w:hint="eastAsia"/>
                <w:sz w:val="18"/>
                <w:szCs w:val="18"/>
              </w:rPr>
              <w:t xml:space="preserve">             </w:t>
            </w:r>
            <w:r>
              <w:rPr>
                <w:rFonts w:hint="eastAsia"/>
                <w:sz w:val="18"/>
                <w:szCs w:val="18"/>
              </w:rPr>
              <w:t>事故报告□</w:t>
            </w:r>
            <w:r>
              <w:rPr>
                <w:rFonts w:hint="eastAsia"/>
                <w:sz w:val="18"/>
                <w:szCs w:val="18"/>
              </w:rPr>
              <w:t xml:space="preserve">                    </w:t>
            </w:r>
            <w:r>
              <w:rPr>
                <w:rFonts w:hint="eastAsia"/>
                <w:sz w:val="18"/>
                <w:szCs w:val="18"/>
              </w:rPr>
              <w:t>事件报告□</w:t>
            </w:r>
          </w:p>
        </w:tc>
      </w:tr>
      <w:tr w:rsidR="00D4693D">
        <w:trPr>
          <w:jc w:val="center"/>
        </w:trPr>
        <w:tc>
          <w:tcPr>
            <w:tcW w:w="348" w:type="pct"/>
            <w:vMerge w:val="restar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2</w:t>
            </w:r>
          </w:p>
        </w:tc>
        <w:tc>
          <w:tcPr>
            <w:tcW w:w="621"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填报时间及方式</w:t>
            </w:r>
          </w:p>
        </w:tc>
        <w:tc>
          <w:tcPr>
            <w:tcW w:w="4030" w:type="pct"/>
            <w:gridSpan w:val="4"/>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415E45">
            <w:pPr>
              <w:pStyle w:val="bgg"/>
              <w:spacing w:line="200" w:lineRule="exact"/>
              <w:ind w:leftChars="0" w:left="0" w:rightChars="0" w:right="0" w:firstLineChars="100" w:firstLine="180"/>
              <w:jc w:val="both"/>
              <w:rPr>
                <w:b/>
                <w:sz w:val="18"/>
                <w:szCs w:val="18"/>
              </w:rPr>
            </w:pPr>
            <w:r>
              <w:rPr>
                <w:rFonts w:hint="eastAsia"/>
                <w:sz w:val="18"/>
                <w:szCs w:val="18"/>
              </w:rPr>
              <w:t xml:space="preserve">              </w:t>
            </w:r>
            <w:r>
              <w:rPr>
                <w:rFonts w:hint="eastAsia"/>
                <w:sz w:val="18"/>
                <w:szCs w:val="18"/>
              </w:rPr>
              <w:t>第</w:t>
            </w:r>
            <w:r>
              <w:rPr>
                <w:rFonts w:hint="eastAsia"/>
                <w:sz w:val="18"/>
                <w:szCs w:val="18"/>
              </w:rPr>
              <w:t>1</w:t>
            </w:r>
            <w:r>
              <w:rPr>
                <w:rFonts w:hint="eastAsia"/>
                <w:sz w:val="18"/>
                <w:szCs w:val="18"/>
              </w:rPr>
              <w:t>次报告□</w:t>
            </w:r>
            <w:r>
              <w:rPr>
                <w:rFonts w:hint="eastAsia"/>
                <w:sz w:val="18"/>
                <w:szCs w:val="18"/>
              </w:rPr>
              <w:t xml:space="preserve">                 </w:t>
            </w:r>
            <w:r>
              <w:rPr>
                <w:rFonts w:hint="eastAsia"/>
                <w:sz w:val="18"/>
                <w:szCs w:val="18"/>
              </w:rPr>
              <w:t>后续报告□</w:t>
            </w:r>
          </w:p>
        </w:tc>
      </w:tr>
      <w:tr w:rsidR="00D4693D">
        <w:trPr>
          <w:trHeight w:val="262"/>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bookmarkStart w:id="2" w:name="_GoBack"/>
            <w:bookmarkEnd w:id="2"/>
            <w:r>
              <w:rPr>
                <w:rFonts w:hint="eastAsia"/>
                <w:sz w:val="18"/>
                <w:szCs w:val="18"/>
              </w:rPr>
              <w:t>第</w:t>
            </w:r>
            <w:r>
              <w:rPr>
                <w:rFonts w:hint="eastAsia"/>
                <w:sz w:val="18"/>
                <w:szCs w:val="18"/>
              </w:rPr>
              <w:t>1</w:t>
            </w:r>
            <w:r>
              <w:rPr>
                <w:rFonts w:hint="eastAsia"/>
                <w:sz w:val="18"/>
                <w:szCs w:val="18"/>
              </w:rPr>
              <w:t>次报告时间</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415E45">
            <w:pPr>
              <w:pStyle w:val="bgg"/>
              <w:spacing w:line="200" w:lineRule="exact"/>
              <w:ind w:leftChars="0" w:left="0" w:rightChars="0" w:right="270" w:firstLineChars="100" w:firstLine="180"/>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r>
              <w:rPr>
                <w:rFonts w:hint="eastAsia"/>
                <w:sz w:val="18"/>
                <w:szCs w:val="18"/>
              </w:rPr>
              <w:t>时</w:t>
            </w:r>
            <w:r>
              <w:rPr>
                <w:rFonts w:hint="eastAsia"/>
                <w:sz w:val="18"/>
                <w:szCs w:val="18"/>
              </w:rPr>
              <w:t xml:space="preserve">    </w:t>
            </w:r>
            <w:r>
              <w:rPr>
                <w:rFonts w:hint="eastAsia"/>
                <w:sz w:val="18"/>
                <w:szCs w:val="18"/>
              </w:rPr>
              <w:t>分</w:t>
            </w:r>
          </w:p>
        </w:tc>
      </w:tr>
      <w:tr w:rsidR="00D4693D">
        <w:trPr>
          <w:jc w:val="center"/>
        </w:trPr>
        <w:tc>
          <w:tcPr>
            <w:tcW w:w="348" w:type="pct"/>
            <w:vMerge w:val="restar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3</w:t>
            </w:r>
          </w:p>
        </w:tc>
        <w:tc>
          <w:tcPr>
            <w:tcW w:w="621"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企业名称、地址及联系方式</w:t>
            </w: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企业详细名称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企业详细地址、电话</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上级主管单位名称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事故涉及的外包</w:t>
            </w:r>
          </w:p>
          <w:p w:rsidR="00D4693D" w:rsidRDefault="00415E45">
            <w:pPr>
              <w:pStyle w:val="bgg"/>
              <w:spacing w:line="200" w:lineRule="exact"/>
              <w:ind w:leftChars="0" w:left="0" w:rightChars="0" w:right="0"/>
              <w:rPr>
                <w:sz w:val="18"/>
                <w:szCs w:val="18"/>
              </w:rPr>
            </w:pPr>
            <w:r>
              <w:rPr>
                <w:rFonts w:hint="eastAsia"/>
                <w:sz w:val="18"/>
                <w:szCs w:val="18"/>
              </w:rPr>
              <w:t>单位情况</w:t>
            </w: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外包单位名称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外包单位地址电话</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外包单位上级主管单位</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在建项目</w:t>
            </w: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建设单位名称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施工单位名称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设计单位名称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监理单位名称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val="restar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4</w:t>
            </w:r>
          </w:p>
        </w:tc>
        <w:tc>
          <w:tcPr>
            <w:tcW w:w="621"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事故或事件经过</w:t>
            </w: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发生时间</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地点（区域）</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事故或事件类型</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初判事故等级</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简要经过</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val="restar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5</w:t>
            </w:r>
          </w:p>
        </w:tc>
        <w:tc>
          <w:tcPr>
            <w:tcW w:w="621"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损失情况</w:t>
            </w:r>
          </w:p>
        </w:tc>
        <w:tc>
          <w:tcPr>
            <w:tcW w:w="1108"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人身伤亡情况</w:t>
            </w: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死亡人数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失踪人数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1108"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2030" w:type="pct"/>
            <w:gridSpan w:val="2"/>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重伤人数</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rightChars="0" w:right="0"/>
              <w:jc w:val="both"/>
              <w:rPr>
                <w:sz w:val="18"/>
                <w:szCs w:val="18"/>
              </w:rPr>
            </w:pPr>
            <w:r>
              <w:rPr>
                <w:rFonts w:hint="eastAsia"/>
                <w:sz w:val="18"/>
                <w:szCs w:val="18"/>
              </w:rPr>
              <w:t>电力设备设施损坏情况及损失金额</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both"/>
              <w:rPr>
                <w:sz w:val="18"/>
                <w:szCs w:val="18"/>
              </w:rPr>
            </w:pPr>
            <w:r>
              <w:rPr>
                <w:rFonts w:hint="eastAsia"/>
                <w:sz w:val="18"/>
                <w:szCs w:val="18"/>
              </w:rPr>
              <w:t>停运的发电（供热）机组数量、电网减供负荷或者发电厂减少出力的数值、停电（停热）范围，停电用户数量等</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rightChars="0" w:right="0"/>
              <w:jc w:val="both"/>
              <w:rPr>
                <w:sz w:val="18"/>
                <w:szCs w:val="18"/>
              </w:rPr>
            </w:pPr>
            <w:r>
              <w:rPr>
                <w:rFonts w:hint="eastAsia"/>
                <w:sz w:val="18"/>
                <w:szCs w:val="18"/>
              </w:rPr>
              <w:t>其他不良社会影响</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val="restart"/>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6</w:t>
            </w:r>
          </w:p>
        </w:tc>
        <w:tc>
          <w:tcPr>
            <w:tcW w:w="621" w:type="pct"/>
            <w:vMerge w:val="restart"/>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原因及</w:t>
            </w:r>
          </w:p>
          <w:p w:rsidR="00D4693D" w:rsidRDefault="00415E45">
            <w:pPr>
              <w:pStyle w:val="bgg"/>
              <w:spacing w:line="200" w:lineRule="exact"/>
              <w:ind w:leftChars="0" w:left="0" w:rightChars="0" w:right="0"/>
              <w:rPr>
                <w:sz w:val="18"/>
                <w:szCs w:val="18"/>
              </w:rPr>
            </w:pPr>
            <w:r>
              <w:rPr>
                <w:rFonts w:hint="eastAsia"/>
                <w:sz w:val="18"/>
                <w:szCs w:val="18"/>
              </w:rPr>
              <w:t>处置恢复情况</w:t>
            </w: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rightChars="0" w:right="0"/>
              <w:jc w:val="both"/>
              <w:rPr>
                <w:sz w:val="18"/>
                <w:szCs w:val="18"/>
              </w:rPr>
            </w:pPr>
            <w:r>
              <w:rPr>
                <w:rFonts w:hint="eastAsia"/>
                <w:sz w:val="18"/>
                <w:szCs w:val="18"/>
              </w:rPr>
              <w:t>原因初步判断</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vMerge/>
            <w:tcBorders>
              <w:top w:val="single" w:sz="4" w:space="0" w:color="auto"/>
              <w:left w:val="single" w:sz="8" w:space="0" w:color="auto"/>
              <w:bottom w:val="single" w:sz="4" w:space="0" w:color="auto"/>
              <w:right w:val="single" w:sz="4" w:space="0" w:color="auto"/>
            </w:tcBorders>
            <w:noWrap/>
            <w:tcMar>
              <w:top w:w="51" w:type="dxa"/>
              <w:left w:w="0" w:type="dxa"/>
              <w:bottom w:w="51" w:type="dxa"/>
              <w:right w:w="0" w:type="dxa"/>
            </w:tcMar>
            <w:vAlign w:val="center"/>
          </w:tcPr>
          <w:p w:rsidR="00D4693D" w:rsidRDefault="00D4693D">
            <w:pPr>
              <w:pStyle w:val="bgg"/>
              <w:spacing w:line="200" w:lineRule="exact"/>
              <w:ind w:leftChars="0" w:left="0" w:rightChars="0" w:right="0"/>
              <w:rPr>
                <w:sz w:val="18"/>
                <w:szCs w:val="18"/>
              </w:rPr>
            </w:pPr>
          </w:p>
        </w:tc>
        <w:tc>
          <w:tcPr>
            <w:tcW w:w="621" w:type="pct"/>
            <w:vMerge/>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D4693D">
            <w:pPr>
              <w:pStyle w:val="bgg"/>
              <w:spacing w:line="200" w:lineRule="exact"/>
              <w:ind w:leftChars="0" w:left="0" w:rightChars="0" w:right="0"/>
              <w:rPr>
                <w:sz w:val="18"/>
                <w:szCs w:val="18"/>
              </w:rPr>
            </w:pPr>
          </w:p>
        </w:tc>
        <w:tc>
          <w:tcPr>
            <w:tcW w:w="3138" w:type="pct"/>
            <w:gridSpan w:val="3"/>
            <w:tcBorders>
              <w:top w:val="single" w:sz="4" w:space="0" w:color="auto"/>
              <w:left w:val="single" w:sz="4" w:space="0" w:color="auto"/>
              <w:bottom w:val="single" w:sz="4"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both"/>
              <w:rPr>
                <w:sz w:val="18"/>
                <w:szCs w:val="18"/>
              </w:rPr>
            </w:pPr>
            <w:r>
              <w:rPr>
                <w:rFonts w:hint="eastAsia"/>
                <w:sz w:val="18"/>
                <w:szCs w:val="18"/>
              </w:rPr>
              <w:t>事故或事件发生后采取的措施、电网运行方式、发电机组运行状况以及事故或事件的控制或恢复情况等</w:t>
            </w:r>
          </w:p>
        </w:tc>
        <w:tc>
          <w:tcPr>
            <w:tcW w:w="892" w:type="pct"/>
            <w:tcBorders>
              <w:top w:val="single" w:sz="4" w:space="0" w:color="auto"/>
              <w:left w:val="single" w:sz="4" w:space="0" w:color="auto"/>
              <w:bottom w:val="single" w:sz="4" w:space="0" w:color="auto"/>
              <w:right w:val="single" w:sz="8" w:space="0" w:color="auto"/>
            </w:tcBorders>
            <w:noWrap/>
            <w:tcMar>
              <w:top w:w="51" w:type="dxa"/>
              <w:bottom w:w="51" w:type="dxa"/>
            </w:tcMar>
            <w:vAlign w:val="center"/>
          </w:tcPr>
          <w:p w:rsidR="00D4693D" w:rsidRDefault="00D4693D">
            <w:pPr>
              <w:pStyle w:val="bgg"/>
              <w:spacing w:line="200" w:lineRule="exact"/>
              <w:ind w:leftChars="0" w:left="0" w:rightChars="0" w:right="0" w:firstLineChars="100" w:firstLine="180"/>
              <w:jc w:val="both"/>
              <w:rPr>
                <w:sz w:val="18"/>
                <w:szCs w:val="18"/>
              </w:rPr>
            </w:pPr>
          </w:p>
        </w:tc>
      </w:tr>
      <w:tr w:rsidR="00D4693D">
        <w:trPr>
          <w:jc w:val="center"/>
        </w:trPr>
        <w:tc>
          <w:tcPr>
            <w:tcW w:w="348" w:type="pct"/>
            <w:tcBorders>
              <w:top w:val="single" w:sz="4" w:space="0" w:color="auto"/>
              <w:left w:val="single" w:sz="8" w:space="0" w:color="auto"/>
              <w:bottom w:val="single" w:sz="8" w:space="0" w:color="auto"/>
              <w:right w:val="single" w:sz="4" w:space="0" w:color="auto"/>
            </w:tcBorders>
            <w:noWrap/>
            <w:tcMar>
              <w:top w:w="51" w:type="dxa"/>
              <w:left w:w="0" w:type="dxa"/>
              <w:bottom w:w="51" w:type="dxa"/>
              <w:right w:w="0"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7</w:t>
            </w:r>
          </w:p>
        </w:tc>
        <w:tc>
          <w:tcPr>
            <w:tcW w:w="621" w:type="pct"/>
            <w:tcBorders>
              <w:top w:val="single" w:sz="4" w:space="0" w:color="auto"/>
              <w:left w:val="single" w:sz="4" w:space="0" w:color="auto"/>
              <w:bottom w:val="single" w:sz="8"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rPr>
                <w:sz w:val="18"/>
                <w:szCs w:val="18"/>
              </w:rPr>
            </w:pPr>
            <w:r>
              <w:rPr>
                <w:rFonts w:hint="eastAsia"/>
                <w:sz w:val="18"/>
                <w:szCs w:val="18"/>
              </w:rPr>
              <w:t>填报单位</w:t>
            </w:r>
          </w:p>
        </w:tc>
        <w:tc>
          <w:tcPr>
            <w:tcW w:w="2393" w:type="pct"/>
            <w:gridSpan w:val="2"/>
            <w:tcBorders>
              <w:top w:val="single" w:sz="4" w:space="0" w:color="auto"/>
              <w:left w:val="single" w:sz="4" w:space="0" w:color="auto"/>
              <w:bottom w:val="single" w:sz="8" w:space="0" w:color="auto"/>
              <w:right w:val="single" w:sz="4"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填报人</w:t>
            </w:r>
          </w:p>
        </w:tc>
        <w:tc>
          <w:tcPr>
            <w:tcW w:w="1637" w:type="pct"/>
            <w:gridSpan w:val="2"/>
            <w:tcBorders>
              <w:top w:val="single" w:sz="4" w:space="0" w:color="auto"/>
              <w:left w:val="single" w:sz="4" w:space="0" w:color="auto"/>
              <w:bottom w:val="single" w:sz="8" w:space="0" w:color="auto"/>
              <w:right w:val="single" w:sz="8" w:space="0" w:color="auto"/>
            </w:tcBorders>
            <w:noWrap/>
            <w:tcMar>
              <w:top w:w="51" w:type="dxa"/>
              <w:bottom w:w="51" w:type="dxa"/>
            </w:tcMar>
            <w:vAlign w:val="center"/>
          </w:tcPr>
          <w:p w:rsidR="00D4693D" w:rsidRDefault="00415E45">
            <w:pPr>
              <w:pStyle w:val="bgg"/>
              <w:spacing w:line="200" w:lineRule="exact"/>
              <w:ind w:leftChars="0" w:left="0" w:rightChars="0" w:right="0"/>
              <w:jc w:val="left"/>
              <w:rPr>
                <w:sz w:val="18"/>
                <w:szCs w:val="18"/>
              </w:rPr>
            </w:pPr>
            <w:r>
              <w:rPr>
                <w:rFonts w:hint="eastAsia"/>
                <w:sz w:val="18"/>
                <w:szCs w:val="18"/>
              </w:rPr>
              <w:t>联系方式</w:t>
            </w:r>
          </w:p>
        </w:tc>
      </w:tr>
    </w:tbl>
    <w:p w:rsidR="00D4693D" w:rsidRDefault="00415E45">
      <w:pPr>
        <w:spacing w:line="340" w:lineRule="exact"/>
        <w:rPr>
          <w:sz w:val="18"/>
          <w:szCs w:val="18"/>
        </w:rPr>
      </w:pPr>
      <w:r>
        <w:rPr>
          <w:rFonts w:hint="eastAsia"/>
        </w:rPr>
        <w:t>注：</w:t>
      </w:r>
      <w:r>
        <w:rPr>
          <w:rFonts w:hint="eastAsia"/>
          <w:sz w:val="18"/>
          <w:szCs w:val="18"/>
        </w:rPr>
        <w:t>1</w:t>
      </w:r>
      <w:r>
        <w:rPr>
          <w:rFonts w:hint="eastAsia"/>
          <w:sz w:val="18"/>
          <w:szCs w:val="18"/>
        </w:rPr>
        <w:t>．事故类型：电力生产人身伤亡事故、电力建设人身伤亡事故、电力安全事故、设备事故。事件类型：影响电力（热力）正常供应事件（参见《电力安全事件监督管理规定》第六条第一、十款）、影响电力系统安全稳定运行事件（参见第六条第二、三、四、五、七款）、造成较大社会影响事件（参见第六、八、九款）。</w:t>
      </w:r>
    </w:p>
    <w:p w:rsidR="00D4693D" w:rsidRDefault="00415E45">
      <w:pPr>
        <w:spacing w:line="340" w:lineRule="exact"/>
        <w:rPr>
          <w:sz w:val="18"/>
          <w:szCs w:val="18"/>
        </w:rPr>
      </w:pPr>
      <w:r>
        <w:rPr>
          <w:rFonts w:hint="eastAsia"/>
          <w:sz w:val="18"/>
          <w:szCs w:val="18"/>
        </w:rPr>
        <w:t xml:space="preserve">　　</w:t>
      </w:r>
      <w:r>
        <w:rPr>
          <w:rFonts w:hint="eastAsia"/>
          <w:sz w:val="18"/>
          <w:szCs w:val="18"/>
        </w:rPr>
        <w:t>2</w:t>
      </w:r>
      <w:r>
        <w:rPr>
          <w:rFonts w:hint="eastAsia"/>
          <w:sz w:val="18"/>
          <w:szCs w:val="18"/>
        </w:rPr>
        <w:t>．初判事故等级：一般、较大、重大、和特别重大。事件信息不填事故等级。</w:t>
      </w:r>
    </w:p>
    <w:p w:rsidR="00D4693D" w:rsidRDefault="00415E45">
      <w:pPr>
        <w:spacing w:line="340" w:lineRule="exact"/>
        <w:rPr>
          <w:sz w:val="18"/>
          <w:szCs w:val="18"/>
        </w:rPr>
      </w:pPr>
      <w:r>
        <w:rPr>
          <w:rFonts w:hint="eastAsia"/>
          <w:sz w:val="18"/>
          <w:szCs w:val="18"/>
        </w:rPr>
        <w:t xml:space="preserve">　　</w:t>
      </w:r>
      <w:r>
        <w:rPr>
          <w:rFonts w:hint="eastAsia"/>
          <w:sz w:val="18"/>
          <w:szCs w:val="18"/>
        </w:rPr>
        <w:t>3</w:t>
      </w:r>
      <w:r>
        <w:rPr>
          <w:rFonts w:hint="eastAsia"/>
          <w:sz w:val="18"/>
          <w:szCs w:val="18"/>
        </w:rPr>
        <w:t>．境外电力工程建设和运营项目发生较大以上人身伤亡事故的，填写本表。</w:t>
      </w:r>
    </w:p>
    <w:p w:rsidR="00D4693D" w:rsidRDefault="00415E45">
      <w:pPr>
        <w:spacing w:line="340" w:lineRule="exact"/>
        <w:ind w:firstLineChars="200" w:firstLine="360"/>
        <w:rPr>
          <w:sz w:val="18"/>
          <w:szCs w:val="18"/>
        </w:rPr>
      </w:pPr>
      <w:r>
        <w:rPr>
          <w:rFonts w:hint="eastAsia"/>
          <w:sz w:val="18"/>
          <w:szCs w:val="18"/>
        </w:rPr>
        <w:t>4</w:t>
      </w:r>
      <w:r>
        <w:rPr>
          <w:rFonts w:hint="eastAsia"/>
          <w:sz w:val="18"/>
          <w:szCs w:val="18"/>
        </w:rPr>
        <w:t>．电网企业直管、控股、</w:t>
      </w:r>
      <w:proofErr w:type="gramStart"/>
      <w:r>
        <w:rPr>
          <w:rFonts w:hint="eastAsia"/>
          <w:sz w:val="18"/>
          <w:szCs w:val="18"/>
        </w:rPr>
        <w:t>代管区</w:t>
      </w:r>
      <w:proofErr w:type="gramEnd"/>
      <w:r>
        <w:rPr>
          <w:rFonts w:hint="eastAsia"/>
          <w:sz w:val="18"/>
          <w:szCs w:val="18"/>
        </w:rPr>
        <w:t>及区级市供电企业及所属农村供电所组织的</w:t>
      </w:r>
      <w:r>
        <w:rPr>
          <w:rFonts w:hint="eastAsia"/>
          <w:sz w:val="18"/>
          <w:szCs w:val="18"/>
        </w:rPr>
        <w:t>10</w:t>
      </w:r>
      <w:r>
        <w:rPr>
          <w:rFonts w:hint="eastAsia"/>
          <w:sz w:val="18"/>
          <w:szCs w:val="18"/>
        </w:rPr>
        <w:t>千伏及以下生产经营等业务活动中发生的事故或事件亦属电力安全信息报送范围。</w:t>
      </w:r>
    </w:p>
    <w:p w:rsidR="00D4693D" w:rsidRDefault="00415E45">
      <w:pPr>
        <w:spacing w:line="340" w:lineRule="exact"/>
        <w:rPr>
          <w:rFonts w:ascii="黑体" w:eastAsia="黑体" w:hAnsi="黑体"/>
          <w:b/>
          <w:spacing w:val="-2"/>
          <w:sz w:val="28"/>
          <w:szCs w:val="28"/>
        </w:rPr>
        <w:sectPr w:rsidR="00D4693D">
          <w:pgSz w:w="11910" w:h="16840"/>
          <w:pgMar w:top="1474" w:right="998" w:bottom="1582" w:left="1678" w:header="0" w:footer="1712" w:gutter="0"/>
          <w:cols w:space="720"/>
          <w:docGrid w:linePitch="286"/>
        </w:sectPr>
      </w:pPr>
      <w:r>
        <w:rPr>
          <w:rFonts w:hint="eastAsia"/>
          <w:sz w:val="18"/>
          <w:szCs w:val="18"/>
        </w:rPr>
        <w:t xml:space="preserve">　　</w:t>
      </w:r>
      <w:bookmarkStart w:id="3" w:name="_Toc119490112"/>
      <w:bookmarkStart w:id="4" w:name="_Toc18146"/>
      <w:r>
        <w:rPr>
          <w:rFonts w:hint="eastAsia"/>
          <w:sz w:val="18"/>
          <w:szCs w:val="18"/>
        </w:rPr>
        <w:t>5</w:t>
      </w:r>
      <w:r>
        <w:rPr>
          <w:rFonts w:hint="eastAsia"/>
          <w:sz w:val="18"/>
          <w:szCs w:val="18"/>
        </w:rPr>
        <w:t>．本页填报不完的可另附页。</w:t>
      </w:r>
      <w:bookmarkEnd w:id="3"/>
      <w:bookmarkEnd w:id="4"/>
    </w:p>
    <w:p w:rsidR="00D4693D" w:rsidRDefault="00D4693D"/>
    <w:sectPr w:rsidR="00D4693D" w:rsidSect="00D469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45" w:rsidRDefault="00415E45" w:rsidP="00DA7B2C">
      <w:r>
        <w:separator/>
      </w:r>
    </w:p>
  </w:endnote>
  <w:endnote w:type="continuationSeparator" w:id="0">
    <w:p w:rsidR="00415E45" w:rsidRDefault="00415E45" w:rsidP="00DA7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45" w:rsidRDefault="00415E45" w:rsidP="00DA7B2C">
      <w:r>
        <w:separator/>
      </w:r>
    </w:p>
  </w:footnote>
  <w:footnote w:type="continuationSeparator" w:id="0">
    <w:p w:rsidR="00415E45" w:rsidRDefault="00415E45" w:rsidP="00DA7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RhYjUzODFhYmJkNWRiZjIwYjgwZTg0NzkwN2JmYmUifQ=="/>
  </w:docVars>
  <w:rsids>
    <w:rsidRoot w:val="00D4693D"/>
    <w:rsid w:val="00415E45"/>
    <w:rsid w:val="00D4693D"/>
    <w:rsid w:val="00DA7B2C"/>
    <w:rsid w:val="570F7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4693D"/>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4693D"/>
    <w:pPr>
      <w:keepNext/>
      <w:keepLines/>
      <w:spacing w:line="413"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20"/>
    <w:qFormat/>
    <w:rsid w:val="00D4693D"/>
    <w:pPr>
      <w:suppressLineNumbers/>
      <w:suppressAutoHyphens/>
      <w:spacing w:before="120" w:after="120"/>
    </w:pPr>
    <w:rPr>
      <w:i/>
      <w:iCs/>
      <w:sz w:val="24"/>
    </w:rPr>
  </w:style>
  <w:style w:type="paragraph" w:styleId="20">
    <w:name w:val="Body Text Indent 2"/>
    <w:basedOn w:val="a"/>
    <w:qFormat/>
    <w:rsid w:val="00D4693D"/>
    <w:pPr>
      <w:spacing w:after="120" w:line="480" w:lineRule="auto"/>
      <w:ind w:leftChars="200" w:left="420"/>
    </w:pPr>
  </w:style>
  <w:style w:type="character" w:customStyle="1" w:styleId="2Char">
    <w:name w:val="标题 2 Char"/>
    <w:link w:val="2"/>
    <w:qFormat/>
    <w:rsid w:val="00D4693D"/>
    <w:rPr>
      <w:rFonts w:ascii="Arial" w:eastAsia="黑体" w:hAnsi="Arial"/>
      <w:b/>
      <w:kern w:val="0"/>
      <w:sz w:val="32"/>
      <w:szCs w:val="20"/>
    </w:rPr>
  </w:style>
  <w:style w:type="paragraph" w:customStyle="1" w:styleId="bgg">
    <w:name w:val="bgg"/>
    <w:basedOn w:val="a"/>
    <w:qFormat/>
    <w:rsid w:val="00D4693D"/>
    <w:pPr>
      <w:topLinePunct/>
      <w:adjustRightInd w:val="0"/>
      <w:snapToGrid w:val="0"/>
      <w:ind w:leftChars="25" w:left="52" w:rightChars="25" w:right="52"/>
      <w:jc w:val="center"/>
    </w:pPr>
    <w:rPr>
      <w:rFonts w:cs="宋体"/>
      <w:color w:val="000000"/>
      <w:sz w:val="16"/>
      <w:szCs w:val="16"/>
    </w:rPr>
  </w:style>
  <w:style w:type="paragraph" w:styleId="a4">
    <w:name w:val="header"/>
    <w:basedOn w:val="a"/>
    <w:link w:val="Char"/>
    <w:rsid w:val="00DA7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A7B2C"/>
    <w:rPr>
      <w:rFonts w:ascii="Times New Roman" w:eastAsia="宋体" w:hAnsi="Times New Roman" w:cs="Times New Roman"/>
      <w:kern w:val="2"/>
      <w:sz w:val="18"/>
      <w:szCs w:val="18"/>
    </w:rPr>
  </w:style>
  <w:style w:type="paragraph" w:styleId="a5">
    <w:name w:val="footer"/>
    <w:basedOn w:val="a"/>
    <w:link w:val="Char0"/>
    <w:rsid w:val="00DA7B2C"/>
    <w:pPr>
      <w:tabs>
        <w:tab w:val="center" w:pos="4153"/>
        <w:tab w:val="right" w:pos="8306"/>
      </w:tabs>
      <w:snapToGrid w:val="0"/>
      <w:jc w:val="left"/>
    </w:pPr>
    <w:rPr>
      <w:sz w:val="18"/>
      <w:szCs w:val="18"/>
    </w:rPr>
  </w:style>
  <w:style w:type="character" w:customStyle="1" w:styleId="Char0">
    <w:name w:val="页脚 Char"/>
    <w:basedOn w:val="a1"/>
    <w:link w:val="a5"/>
    <w:rsid w:val="00DA7B2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lenovo</cp:lastModifiedBy>
  <cp:revision>2</cp:revision>
  <dcterms:created xsi:type="dcterms:W3CDTF">2023-01-03T08:47:00Z</dcterms:created>
  <dcterms:modified xsi:type="dcterms:W3CDTF">2023-01-03T08:47:00Z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748E0DC541D8464DB553FE8287620F31</vt:lpwstr>
  </property>
</Properties>
</file>