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CB" w:rsidRDefault="00A87AF9">
      <w:pPr>
        <w:shd w:val="clear" w:color="auto" w:fill="FFFFFF"/>
        <w:wordWrap w:val="0"/>
        <w:overflowPunct w:val="0"/>
        <w:spacing w:line="576" w:lineRule="exact"/>
        <w:ind w:firstLineChars="200" w:firstLine="560"/>
        <w:outlineLvl w:val="0"/>
        <w:rPr>
          <w:rStyle w:val="2Char"/>
          <w:rFonts w:ascii="仿宋" w:eastAsia="仿宋" w:hAnsi="仿宋" w:cs="仿宋"/>
        </w:rPr>
      </w:pPr>
      <w:bookmarkStart w:id="0" w:name="_Toc14470"/>
      <w:bookmarkStart w:id="1" w:name="_Toc25275"/>
      <w:bookmarkStart w:id="2" w:name="_Toc119490105"/>
      <w:r>
        <w:rPr>
          <w:rStyle w:val="2Char"/>
          <w:rFonts w:ascii="方正黑体_GBK" w:eastAsia="方正黑体_GBK" w:hAnsi="方正黑体_GBK" w:cs="方正黑体_GBK" w:hint="eastAsia"/>
          <w:b w:val="0"/>
          <w:bCs/>
          <w:sz w:val="28"/>
          <w:szCs w:val="18"/>
        </w:rPr>
        <w:t>附件</w:t>
      </w:r>
      <w:r>
        <w:rPr>
          <w:rStyle w:val="2Char"/>
          <w:rFonts w:ascii="方正黑体_GBK" w:eastAsia="方正黑体_GBK" w:hAnsi="方正黑体_GBK" w:cs="方正黑体_GBK" w:hint="eastAsia"/>
          <w:b w:val="0"/>
          <w:bCs/>
          <w:sz w:val="28"/>
          <w:szCs w:val="18"/>
        </w:rPr>
        <w:t>1</w:t>
      </w:r>
      <w:r>
        <w:rPr>
          <w:rStyle w:val="2Char"/>
          <w:rFonts w:ascii="方正黑体_GBK" w:eastAsia="方正黑体_GBK" w:hAnsi="方正黑体_GBK" w:cs="方正黑体_GBK" w:hint="eastAsia"/>
          <w:b w:val="0"/>
          <w:bCs/>
        </w:rPr>
        <w:t xml:space="preserve">    </w:t>
      </w:r>
      <w:r>
        <w:rPr>
          <w:rStyle w:val="2Char"/>
          <w:rFonts w:ascii="仿宋" w:eastAsia="仿宋" w:hAnsi="仿宋" w:cs="仿宋" w:hint="eastAsia"/>
        </w:rPr>
        <w:t xml:space="preserve">                   </w:t>
      </w:r>
      <w:bookmarkEnd w:id="0"/>
    </w:p>
    <w:p w:rsidR="00FB71CB" w:rsidRDefault="00A87AF9" w:rsidP="00EA080D">
      <w:pPr>
        <w:shd w:val="clear" w:color="auto" w:fill="FFFFFF"/>
        <w:wordWrap w:val="0"/>
        <w:overflowPunct w:val="0"/>
        <w:spacing w:beforeLines="50" w:afterLines="50" w:line="576" w:lineRule="exact"/>
        <w:ind w:firstLineChars="200" w:firstLine="720"/>
        <w:jc w:val="center"/>
        <w:outlineLvl w:val="0"/>
        <w:rPr>
          <w:rStyle w:val="2Char"/>
          <w:rFonts w:ascii="方正小标宋简体" w:eastAsia="方正小标宋简体" w:hAnsi="方正小标宋简体" w:cs="方正小标宋简体"/>
          <w:b w:val="0"/>
          <w:bCs/>
          <w:sz w:val="36"/>
          <w:szCs w:val="36"/>
        </w:rPr>
      </w:pPr>
      <w:r>
        <w:rPr>
          <w:rStyle w:val="2Char"/>
          <w:rFonts w:ascii="方正小标宋简体" w:eastAsia="方正小标宋简体" w:hAnsi="方正小标宋简体" w:cs="方正小标宋简体" w:hint="eastAsia"/>
          <w:b w:val="0"/>
          <w:bCs/>
          <w:sz w:val="36"/>
          <w:szCs w:val="36"/>
        </w:rPr>
        <w:t>国家大面积停电事件分级标准</w:t>
      </w:r>
      <w:bookmarkEnd w:id="1"/>
      <w:bookmarkEnd w:id="2"/>
    </w:p>
    <w:tbl>
      <w:tblPr>
        <w:tblW w:w="140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4"/>
        <w:gridCol w:w="11825"/>
      </w:tblGrid>
      <w:tr w:rsidR="00FB71CB">
        <w:trPr>
          <w:trHeight w:val="20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71CB" w:rsidRDefault="00A87AF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事件等级</w:t>
            </w:r>
          </w:p>
        </w:tc>
        <w:tc>
          <w:tcPr>
            <w:tcW w:w="1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71CB" w:rsidRDefault="00A87AF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事件分级标准</w:t>
            </w:r>
          </w:p>
        </w:tc>
      </w:tr>
      <w:tr w:rsidR="00FB71CB">
        <w:trPr>
          <w:trHeight w:val="9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71CB" w:rsidRDefault="00A87AF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特别重大</w:t>
            </w:r>
          </w:p>
          <w:p w:rsidR="00FB71CB" w:rsidRDefault="00A87AF9">
            <w:pPr>
              <w:pStyle w:val="a4"/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大面积停电事件</w:t>
            </w:r>
          </w:p>
        </w:tc>
        <w:tc>
          <w:tcPr>
            <w:tcW w:w="1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71CB" w:rsidRDefault="00A87AF9">
            <w:pPr>
              <w:pStyle w:val="a4"/>
              <w:widowControl/>
              <w:spacing w:line="240" w:lineRule="exact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1.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区域性电网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30%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以上。</w:t>
            </w:r>
          </w:p>
          <w:p w:rsidR="00FB71CB" w:rsidRDefault="00A87AF9">
            <w:pPr>
              <w:pStyle w:val="a4"/>
              <w:widowControl/>
              <w:spacing w:line="240" w:lineRule="exact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2.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省、自治区电网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30%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以上，负荷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兆瓦以下的减供负荷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40%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以上。</w:t>
            </w:r>
          </w:p>
          <w:p w:rsidR="00FB71CB" w:rsidRDefault="00A87AF9">
            <w:pPr>
              <w:pStyle w:val="a4"/>
              <w:widowControl/>
              <w:spacing w:line="240" w:lineRule="exact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3.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直辖市电网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以上，或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60%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以上供电用户停电。</w:t>
            </w:r>
          </w:p>
          <w:p w:rsidR="00FB71CB" w:rsidRDefault="00A87AF9">
            <w:pPr>
              <w:pStyle w:val="a4"/>
              <w:widowControl/>
              <w:spacing w:line="240" w:lineRule="exact"/>
              <w:rPr>
                <w:rFonts w:eastAsia="仿宋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4.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省、自治区人民政府所在地城市电网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60%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以上，或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70%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以上供电用户停电。</w:t>
            </w:r>
          </w:p>
        </w:tc>
      </w:tr>
      <w:tr w:rsidR="00FB71CB">
        <w:trPr>
          <w:trHeight w:val="125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71CB" w:rsidRDefault="00A87AF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</w:t>
            </w:r>
          </w:p>
          <w:p w:rsidR="00FB71CB" w:rsidRDefault="00A87AF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大面积停电事件</w:t>
            </w:r>
          </w:p>
        </w:tc>
        <w:tc>
          <w:tcPr>
            <w:tcW w:w="1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71CB" w:rsidRDefault="00A87AF9">
            <w:pPr>
              <w:widowControl/>
              <w:spacing w:line="240" w:lineRule="exact"/>
              <w:textAlignment w:val="center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1.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区域性电网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30%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以下。</w:t>
            </w:r>
          </w:p>
          <w:p w:rsidR="00FB71CB" w:rsidRDefault="00A87AF9">
            <w:pPr>
              <w:widowControl/>
              <w:spacing w:line="240" w:lineRule="exact"/>
              <w:textAlignment w:val="center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2.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省、自治区电网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13%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30%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以下，负荷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兆瓦以下的减供负荷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16%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40%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以下，负荷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兆瓦以下的减供负荷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以上。</w:t>
            </w:r>
          </w:p>
          <w:p w:rsidR="00FB71CB" w:rsidRDefault="00A87AF9">
            <w:pPr>
              <w:widowControl/>
              <w:spacing w:line="240" w:lineRule="exact"/>
              <w:textAlignment w:val="center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3.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直辖市电网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以下，或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30%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60%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以下供电用户停电。</w:t>
            </w:r>
          </w:p>
          <w:p w:rsidR="00FB71CB" w:rsidRDefault="00A87AF9">
            <w:pPr>
              <w:widowControl/>
              <w:spacing w:line="240" w:lineRule="exact"/>
              <w:textAlignment w:val="center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4.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省、自治区人民政府所在地城市电网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40%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60%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以下，或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70%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以下供电用户停电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；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兆瓦以下的减供负荷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40%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以上，或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以上供电用户停电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。</w:t>
            </w:r>
          </w:p>
          <w:p w:rsidR="00FB71CB" w:rsidRDefault="00A87AF9">
            <w:pPr>
              <w:widowControl/>
              <w:spacing w:line="24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5.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其他设区的市电网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600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60%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以上，或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70%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以上供电用户停电。</w:t>
            </w:r>
          </w:p>
        </w:tc>
      </w:tr>
      <w:tr w:rsidR="00FB71CB">
        <w:trPr>
          <w:trHeight w:val="159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71CB" w:rsidRDefault="00A87AF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较大</w:t>
            </w:r>
          </w:p>
          <w:p w:rsidR="00FB71CB" w:rsidRDefault="00A87AF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大面积停电事件</w:t>
            </w:r>
          </w:p>
        </w:tc>
        <w:tc>
          <w:tcPr>
            <w:tcW w:w="1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71CB" w:rsidRDefault="00A87AF9">
            <w:pPr>
              <w:pStyle w:val="a4"/>
              <w:widowControl/>
              <w:spacing w:line="240" w:lineRule="exact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1.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区域性电网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7%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以下。</w:t>
            </w:r>
          </w:p>
          <w:p w:rsidR="00FB71CB" w:rsidRDefault="00A87AF9">
            <w:pPr>
              <w:pStyle w:val="a4"/>
              <w:widowControl/>
              <w:spacing w:line="240" w:lineRule="exact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2.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省、自治区电网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13%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以下，负荷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兆瓦以下的减供负荷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12%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16%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以下，负荷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兆瓦以下的减供负荷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以下，负荷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1000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兆瓦以下的减供负荷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40%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以上。</w:t>
            </w:r>
          </w:p>
          <w:p w:rsidR="00FB71CB" w:rsidRDefault="00A87AF9">
            <w:pPr>
              <w:pStyle w:val="a4"/>
              <w:widowControl/>
              <w:spacing w:line="240" w:lineRule="exact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3.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直辖市电网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以下，或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15%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30%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以下供电用户停电。</w:t>
            </w:r>
          </w:p>
          <w:p w:rsidR="00FB71CB" w:rsidRDefault="00A87AF9">
            <w:pPr>
              <w:pStyle w:val="a4"/>
              <w:widowControl/>
              <w:spacing w:line="240" w:lineRule="exact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4.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省、自治区人民政府所在地城市电网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20%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40%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以下，或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30%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以下供电用户停电。</w:t>
            </w:r>
          </w:p>
          <w:p w:rsidR="00FB71CB" w:rsidRDefault="00A87AF9">
            <w:pPr>
              <w:pStyle w:val="a4"/>
              <w:widowControl/>
              <w:spacing w:line="240" w:lineRule="exact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5.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其他设区的市电网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600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40%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60%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以下，或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70%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以下供电用户停电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；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600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兆瓦以下的减供负荷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40%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以上，或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50%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以上供电用户停电。</w:t>
            </w:r>
          </w:p>
          <w:p w:rsidR="00FB71CB" w:rsidRDefault="00A87AF9">
            <w:pPr>
              <w:pStyle w:val="a4"/>
              <w:widowControl/>
              <w:spacing w:line="240" w:lineRule="exact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sz w:val="18"/>
                <w:szCs w:val="18"/>
              </w:rPr>
              <w:t>6.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县级市电网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150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兆瓦以上的减供负荷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60%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以上，或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70%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以上供电用户停电。</w:t>
            </w:r>
          </w:p>
        </w:tc>
      </w:tr>
      <w:tr w:rsidR="00FB71CB">
        <w:trPr>
          <w:trHeight w:val="9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71CB" w:rsidRDefault="00A87AF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一般</w:t>
            </w:r>
          </w:p>
          <w:p w:rsidR="00FB71CB" w:rsidRDefault="00A87AF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大面积停电事件</w:t>
            </w:r>
          </w:p>
        </w:tc>
        <w:tc>
          <w:tcPr>
            <w:tcW w:w="1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71CB" w:rsidRDefault="00A87AF9">
            <w:pPr>
              <w:widowControl/>
              <w:spacing w:line="240" w:lineRule="exact"/>
              <w:textAlignment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1.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区域性电网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减供负荷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4%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7%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以下。</w:t>
            </w:r>
          </w:p>
          <w:p w:rsidR="00FB71CB" w:rsidRDefault="00A87AF9">
            <w:pPr>
              <w:widowControl/>
              <w:spacing w:line="240" w:lineRule="exact"/>
              <w:textAlignment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2.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省、自治区电网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负荷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20000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兆瓦以上的减供负荷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5%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10%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以下，负荷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5000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兆瓦以上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20000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兆瓦以下的减供负荷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6%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12%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以下，负荷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1000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兆瓦以上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5000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兆瓦以下的减供负荷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10%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20%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以下，负荷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1000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兆瓦以下的减供负荷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25%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40%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以下。</w:t>
            </w:r>
          </w:p>
          <w:p w:rsidR="00FB71CB" w:rsidRDefault="00A87AF9">
            <w:pPr>
              <w:widowControl/>
              <w:spacing w:line="240" w:lineRule="exact"/>
              <w:textAlignment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3.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直辖市电网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减供负荷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5%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10%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以下，或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10%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15%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以下供电用户停电。</w:t>
            </w:r>
          </w:p>
          <w:p w:rsidR="00FB71CB" w:rsidRDefault="00A87AF9">
            <w:pPr>
              <w:widowControl/>
              <w:spacing w:line="240" w:lineRule="exact"/>
              <w:textAlignment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4.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省、自治区人民政府所在地城市电网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减供负荷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10%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20%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以下，或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15%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30%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以下供电用户停电。</w:t>
            </w:r>
          </w:p>
          <w:p w:rsidR="00FB71CB" w:rsidRDefault="00A87AF9">
            <w:pPr>
              <w:widowControl/>
              <w:spacing w:line="240" w:lineRule="exact"/>
              <w:textAlignment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5.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其他设区的市电网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减供负荷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20%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40%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以下，或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30%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50%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以下供电用户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停电。</w:t>
            </w:r>
          </w:p>
          <w:p w:rsidR="00FB71CB" w:rsidRDefault="00A87AF9">
            <w:pPr>
              <w:widowControl/>
              <w:spacing w:line="240" w:lineRule="exact"/>
              <w:textAlignment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6.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县级市电网</w:t>
            </w: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：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负荷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150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兆瓦以上的减供负荷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40%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60%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以下，或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50%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以上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70%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以下供电用户停电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负荷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150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兆瓦以下的减供负荷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40%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以上，或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50%</w:t>
            </w:r>
            <w:r>
              <w:rPr>
                <w:rFonts w:ascii="仿宋" w:eastAsia="仿宋" w:hAnsi="仿宋" w:cs="仿宋_GB2312" w:hint="eastAsia"/>
                <w:kern w:val="0"/>
                <w:sz w:val="16"/>
                <w:szCs w:val="16"/>
              </w:rPr>
              <w:t>以上供电用户停电。</w:t>
            </w:r>
          </w:p>
        </w:tc>
      </w:tr>
    </w:tbl>
    <w:p w:rsidR="00FB71CB" w:rsidRDefault="00FB71CB">
      <w:bookmarkStart w:id="3" w:name="_GoBack"/>
      <w:bookmarkEnd w:id="3"/>
    </w:p>
    <w:sectPr w:rsidR="00FB71CB" w:rsidSect="00FB71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F9" w:rsidRDefault="00A87AF9" w:rsidP="00EA080D">
      <w:r>
        <w:separator/>
      </w:r>
    </w:p>
  </w:endnote>
  <w:endnote w:type="continuationSeparator" w:id="0">
    <w:p w:rsidR="00A87AF9" w:rsidRDefault="00A87AF9" w:rsidP="00EA0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F9" w:rsidRDefault="00A87AF9" w:rsidP="00EA080D">
      <w:r>
        <w:separator/>
      </w:r>
    </w:p>
  </w:footnote>
  <w:footnote w:type="continuationSeparator" w:id="0">
    <w:p w:rsidR="00A87AF9" w:rsidRDefault="00A87AF9" w:rsidP="00EA0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RhYjUzODFhYmJkNWRiZjIwYjgwZTg0NzkwN2JmYmUifQ=="/>
  </w:docVars>
  <w:rsids>
    <w:rsidRoot w:val="00FB71CB"/>
    <w:rsid w:val="00A87AF9"/>
    <w:rsid w:val="00EA080D"/>
    <w:rsid w:val="00FB71CB"/>
    <w:rsid w:val="0AA1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B71C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FB71CB"/>
    <w:pPr>
      <w:keepNext/>
      <w:keepLines/>
      <w:spacing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20"/>
    <w:qFormat/>
    <w:rsid w:val="00FB71CB"/>
    <w:pPr>
      <w:suppressLineNumbers/>
      <w:suppressAutoHyphens/>
      <w:spacing w:before="120" w:after="120"/>
    </w:pPr>
    <w:rPr>
      <w:i/>
      <w:iCs/>
      <w:sz w:val="24"/>
    </w:rPr>
  </w:style>
  <w:style w:type="paragraph" w:styleId="20">
    <w:name w:val="Body Text Indent 2"/>
    <w:basedOn w:val="a"/>
    <w:qFormat/>
    <w:rsid w:val="00FB71CB"/>
    <w:pPr>
      <w:spacing w:after="120" w:line="480" w:lineRule="auto"/>
      <w:ind w:leftChars="200" w:left="420"/>
    </w:pPr>
  </w:style>
  <w:style w:type="paragraph" w:styleId="a4">
    <w:name w:val="Body Text"/>
    <w:basedOn w:val="a"/>
    <w:qFormat/>
    <w:rsid w:val="00FB71CB"/>
  </w:style>
  <w:style w:type="paragraph" w:styleId="a5">
    <w:name w:val="footer"/>
    <w:basedOn w:val="a"/>
    <w:qFormat/>
    <w:rsid w:val="00FB7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Char">
    <w:name w:val="标题 2 Char"/>
    <w:link w:val="2"/>
    <w:qFormat/>
    <w:rsid w:val="00FB71CB"/>
    <w:rPr>
      <w:rFonts w:ascii="Arial" w:eastAsia="黑体" w:hAnsi="Arial"/>
      <w:b/>
      <w:kern w:val="0"/>
      <w:sz w:val="32"/>
      <w:szCs w:val="20"/>
    </w:rPr>
  </w:style>
  <w:style w:type="paragraph" w:styleId="a6">
    <w:name w:val="header"/>
    <w:basedOn w:val="a"/>
    <w:link w:val="Char"/>
    <w:rsid w:val="00EA0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EA080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</dc:creator>
  <cp:lastModifiedBy>lenovo</cp:lastModifiedBy>
  <cp:revision>2</cp:revision>
  <dcterms:created xsi:type="dcterms:W3CDTF">2023-01-03T08:34:00Z</dcterms:created>
  <dcterms:modified xsi:type="dcterms:W3CDTF">2023-01-03T08:34:00Z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C06FB82004E5452CB1F81C8902CB20E8</vt:lpwstr>
  </property>
</Properties>
</file>