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9E" w:rsidRDefault="00C961BF">
      <w:pPr>
        <w:spacing w:line="570" w:lineRule="exact"/>
      </w:pPr>
      <w:r>
        <w:rPr>
          <w:rFonts w:ascii="黑体" w:eastAsia="黑体" w:hAnsi="黑体" w:cs="黑体" w:hint="eastAsia"/>
          <w:sz w:val="30"/>
          <w:szCs w:val="30"/>
        </w:rPr>
        <w:t>附件1</w:t>
      </w:r>
    </w:p>
    <w:p w:rsidR="00E6169E" w:rsidRDefault="00C961BF" w:rsidP="00D744AC">
      <w:pPr>
        <w:pStyle w:val="1"/>
        <w:spacing w:beforeLines="100" w:line="570" w:lineRule="exact"/>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长治市上党区新建商品房“房证同交”</w:t>
      </w:r>
    </w:p>
    <w:p w:rsidR="00E6169E" w:rsidRDefault="00C961BF">
      <w:pPr>
        <w:pStyle w:val="1"/>
        <w:spacing w:line="570" w:lineRule="exact"/>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联席会议制度</w:t>
      </w:r>
    </w:p>
    <w:p w:rsidR="00E6169E" w:rsidRDefault="00C961BF" w:rsidP="00D744AC">
      <w:pPr>
        <w:spacing w:beforeLines="100" w:line="570" w:lineRule="exact"/>
        <w:ind w:firstLineChars="200" w:firstLine="640"/>
        <w:rPr>
          <w:rFonts w:ascii="黑体" w:eastAsia="黑体" w:hAnsi="黑体" w:cs="黑体"/>
          <w:sz w:val="32"/>
        </w:rPr>
      </w:pPr>
      <w:r>
        <w:rPr>
          <w:rFonts w:ascii="黑体" w:eastAsia="黑体" w:hAnsi="黑体" w:cs="黑体" w:hint="eastAsia"/>
          <w:sz w:val="32"/>
        </w:rPr>
        <w:t>一、组成人员</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召集人：分管行政审批和自然资源工作的副区长</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成</w:t>
      </w:r>
      <w:r>
        <w:rPr>
          <w:rFonts w:ascii="Times New Roman" w:eastAsia="仿宋_GB2312" w:hAnsi="Times New Roman" w:hint="eastAsia"/>
          <w:sz w:val="32"/>
        </w:rPr>
        <w:t xml:space="preserve">  </w:t>
      </w:r>
      <w:r>
        <w:rPr>
          <w:rFonts w:ascii="Times New Roman" w:eastAsia="仿宋_GB2312" w:hAnsi="Times New Roman" w:hint="eastAsia"/>
          <w:sz w:val="32"/>
        </w:rPr>
        <w:t>员：区人民法院、区人民检察院、区公安分局、区司法局、区自然资源局、区住建局、区行政审批局、区税务局、区市场监管局</w:t>
      </w:r>
    </w:p>
    <w:p w:rsidR="00E6169E" w:rsidRDefault="00C961BF">
      <w:pPr>
        <w:numPr>
          <w:ilvl w:val="0"/>
          <w:numId w:val="1"/>
        </w:numPr>
        <w:spacing w:line="570" w:lineRule="exact"/>
        <w:ind w:firstLineChars="200" w:firstLine="640"/>
        <w:rPr>
          <w:rFonts w:ascii="黑体" w:eastAsia="黑体" w:hAnsi="黑体" w:cs="黑体"/>
          <w:sz w:val="32"/>
        </w:rPr>
      </w:pPr>
      <w:r>
        <w:rPr>
          <w:rFonts w:ascii="黑体" w:eastAsia="黑体" w:hAnsi="黑体" w:cs="黑体" w:hint="eastAsia"/>
          <w:sz w:val="32"/>
        </w:rPr>
        <w:t>主要职责</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区人民法院：负责按照法律规定提供审判、追偿、执行等司法保障。</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区人民检察院：负责按照法律规定提供立案、公诉等司法保障。</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区公安分局：负责对涉案问题进行侦办，负责“房证同交”处理过程中</w:t>
      </w:r>
      <w:proofErr w:type="gramStart"/>
      <w:r>
        <w:rPr>
          <w:rFonts w:ascii="Times New Roman" w:eastAsia="仿宋_GB2312" w:hAnsi="Times New Roman" w:hint="eastAsia"/>
          <w:sz w:val="32"/>
        </w:rPr>
        <w:t>的维稳工作</w:t>
      </w:r>
      <w:proofErr w:type="gramEnd"/>
      <w:r>
        <w:rPr>
          <w:rFonts w:ascii="Times New Roman" w:eastAsia="仿宋_GB2312" w:hAnsi="Times New Roman" w:hint="eastAsia"/>
          <w:sz w:val="32"/>
        </w:rPr>
        <w:t>，协助落实办证群众户籍问题。</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区司法局：负责对“房证同交”相关政策提供法律保障，依法办理相关行政复议和行政应诉案件。</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区自然资源局：做好房地产项目土地出让合同的签订、容积率等相关规划指标的审批、地籍测绘、不动产权籍备案、国土指标核算、不动产登记等工作并负责督促土地受让单位及时缴纳土地价款。不动产登记中心应及时开展测绘、权属调查、成果审核入库等权</w:t>
      </w:r>
      <w:proofErr w:type="gramStart"/>
      <w:r>
        <w:rPr>
          <w:rFonts w:ascii="Times New Roman" w:eastAsia="仿宋_GB2312" w:hAnsi="Times New Roman" w:hint="eastAsia"/>
          <w:sz w:val="32"/>
        </w:rPr>
        <w:t>籍调查</w:t>
      </w:r>
      <w:proofErr w:type="gramEnd"/>
      <w:r>
        <w:rPr>
          <w:rFonts w:ascii="Times New Roman" w:eastAsia="仿宋_GB2312" w:hAnsi="Times New Roman" w:hint="eastAsia"/>
          <w:sz w:val="32"/>
        </w:rPr>
        <w:t>工作，靠前服务，做好联系对接，定期跟踪项目的进度，提前预审。运用“互联网＋不</w:t>
      </w:r>
      <w:r>
        <w:rPr>
          <w:rFonts w:ascii="Times New Roman" w:eastAsia="仿宋_GB2312" w:hAnsi="Times New Roman" w:hint="eastAsia"/>
          <w:sz w:val="32"/>
        </w:rPr>
        <w:lastRenderedPageBreak/>
        <w:t>动产技术”，对于具备“房证同交”条件的项目，按时限要求为开发建设单位和业主办理不动产首次登记和转移登记。</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区住建局：做好房地产项目的质量安全监督、质量竣工验收、节能专项验收、商品房买卖合同网签、维修基金缴存及房地产开发企业信用评价等工作；定期向社会公布房源信息等房地产市场信息；会同有关部门依职责对房地产领域违法违规行为进行查处，督促开发建设单位落实房证同</w:t>
      </w:r>
      <w:proofErr w:type="gramStart"/>
      <w:r>
        <w:rPr>
          <w:rFonts w:ascii="Times New Roman" w:eastAsia="仿宋_GB2312" w:hAnsi="Times New Roman" w:hint="eastAsia"/>
          <w:sz w:val="32"/>
        </w:rPr>
        <w:t>交主体</w:t>
      </w:r>
      <w:proofErr w:type="gramEnd"/>
      <w:r>
        <w:rPr>
          <w:rFonts w:ascii="Times New Roman" w:eastAsia="仿宋_GB2312" w:hAnsi="Times New Roman" w:hint="eastAsia"/>
          <w:sz w:val="32"/>
        </w:rPr>
        <w:t>责任。</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区行政审批局：设立新建商品房“房证同交”窗口；做好职权范围内的房地产开发项目审查、审批、验收等工作，及时在官方媒体公开发布已批准的商品房预售许可信息。</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区税务局：做好房地产开发项目的日常税收征管，做好购房业主契税、印花税的征缴工作。积极开展提供网上核税、缴税功能，在登记前完成税收缴纳或者税务部门在交房现场提供纳税服务，提高缴税工作便利度。将购房人契税缴纳纳入监管环节，负责查处违法规避房屋交易税费行为。</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区市场监管局：做好房地产行业格式合同违法、发布传播虚假广告和不实信息、诱骗消费者交易、商品房销售不予明码标价、在标价之外加价出售房屋或收取未标明的费用等违法违规行日常监管。</w:t>
      </w:r>
    </w:p>
    <w:p w:rsidR="00E6169E" w:rsidRDefault="00C961BF">
      <w:pPr>
        <w:numPr>
          <w:ilvl w:val="0"/>
          <w:numId w:val="1"/>
        </w:numPr>
        <w:spacing w:line="570" w:lineRule="exact"/>
        <w:ind w:firstLineChars="200" w:firstLine="640"/>
        <w:rPr>
          <w:rFonts w:ascii="黑体" w:eastAsia="黑体" w:hAnsi="黑体" w:cs="黑体"/>
          <w:sz w:val="32"/>
        </w:rPr>
      </w:pPr>
      <w:r>
        <w:rPr>
          <w:rFonts w:ascii="黑体" w:eastAsia="黑体" w:hAnsi="黑体" w:cs="黑体" w:hint="eastAsia"/>
          <w:sz w:val="32"/>
        </w:rPr>
        <w:t>工作规则</w:t>
      </w:r>
    </w:p>
    <w:p w:rsidR="00E6169E" w:rsidRDefault="00C961BF">
      <w:pPr>
        <w:spacing w:line="570" w:lineRule="exact"/>
        <w:ind w:firstLineChars="200" w:firstLine="640"/>
        <w:rPr>
          <w:rFonts w:ascii="黑体" w:eastAsia="黑体" w:hAnsi="黑体" w:cs="黑体"/>
          <w:sz w:val="32"/>
        </w:rPr>
      </w:pPr>
      <w:r>
        <w:rPr>
          <w:rFonts w:ascii="Times New Roman" w:eastAsia="仿宋_GB2312" w:hAnsi="Times New Roman" w:hint="eastAsia"/>
          <w:sz w:val="32"/>
        </w:rPr>
        <w:t>联席会议根据工作需要不定期召开，由召集人或召集人委托的同志主持。会议召开之前，成员单位提出召开联席会议建议，由联席会议办公室准备研究议题和需提交联席会议</w:t>
      </w:r>
      <w:r>
        <w:rPr>
          <w:rFonts w:ascii="Times New Roman" w:eastAsia="仿宋_GB2312" w:hAnsi="Times New Roman" w:hint="eastAsia"/>
          <w:sz w:val="32"/>
        </w:rPr>
        <w:lastRenderedPageBreak/>
        <w:t>议定的事项。研究审议具体工作事项时，可视情况召集部分成员单位参加会议，也可邀请其他部门和专家参加会议。联席会议议定的事项，要形成会议纪要并抄报区政府。</w:t>
      </w:r>
    </w:p>
    <w:p w:rsidR="00E6169E" w:rsidRDefault="00C961BF">
      <w:pPr>
        <w:numPr>
          <w:ilvl w:val="0"/>
          <w:numId w:val="1"/>
        </w:numPr>
        <w:spacing w:line="570" w:lineRule="exact"/>
        <w:ind w:firstLineChars="200" w:firstLine="640"/>
        <w:rPr>
          <w:rFonts w:ascii="黑体" w:eastAsia="黑体" w:hAnsi="黑体" w:cs="黑体"/>
          <w:sz w:val="32"/>
        </w:rPr>
      </w:pPr>
      <w:r>
        <w:rPr>
          <w:rFonts w:ascii="黑体" w:eastAsia="黑体" w:hAnsi="黑体" w:cs="黑体" w:hint="eastAsia"/>
          <w:sz w:val="32"/>
        </w:rPr>
        <w:t>工作要求</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（一）各成员单位要按照职责分工，认真研究改革中存在的困难和问题，及时向联席会议办公室提出会议议题。</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（二）各成员单位要不断增强工作的主动性、责任感，按要求参加联席会议，认真落实会议确定的各项任务和议定事项。</w:t>
      </w:r>
    </w:p>
    <w:p w:rsidR="00E6169E" w:rsidRDefault="00C961BF">
      <w:pPr>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（三）联席会议办公室要及时向各成员单位通报工作进展情况，重大问题及时按程序向区政府报告。</w:t>
      </w:r>
    </w:p>
    <w:p w:rsidR="00E6169E" w:rsidRPr="00D744AC" w:rsidRDefault="00E6169E" w:rsidP="00D744AC">
      <w:pPr>
        <w:spacing w:line="570" w:lineRule="exact"/>
        <w:rPr>
          <w:rFonts w:ascii="黑体" w:eastAsia="黑体" w:hAnsi="黑体" w:cs="黑体"/>
          <w:vanish/>
          <w:sz w:val="30"/>
          <w:szCs w:val="30"/>
        </w:rPr>
      </w:pPr>
    </w:p>
    <w:sectPr w:rsidR="00E6169E" w:rsidRPr="00D744AC" w:rsidSect="00E6169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E04" w:rsidRDefault="00812E04" w:rsidP="00E6169E">
      <w:r>
        <w:separator/>
      </w:r>
    </w:p>
  </w:endnote>
  <w:endnote w:type="continuationSeparator" w:id="0">
    <w:p w:rsidR="00812E04" w:rsidRDefault="00812E04" w:rsidP="00E61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69E" w:rsidRDefault="000801A4">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filled="f" stroked="f" strokeweight=".5pt">
          <v:textbox style="mso-fit-shape-to-text:t" inset="0,0,0,0">
            <w:txbxContent>
              <w:p w:rsidR="00E6169E" w:rsidRDefault="000801A4">
                <w:pPr>
                  <w:pStyle w:val="a3"/>
                </w:pPr>
                <w:r>
                  <w:fldChar w:fldCharType="begin"/>
                </w:r>
                <w:r w:rsidR="00C961BF">
                  <w:instrText xml:space="preserve"> PAGE  \* MERGEFORMAT </w:instrText>
                </w:r>
                <w:r>
                  <w:fldChar w:fldCharType="separate"/>
                </w:r>
                <w:r w:rsidR="00D744AC">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E04" w:rsidRDefault="00812E04" w:rsidP="00E6169E">
      <w:r>
        <w:separator/>
      </w:r>
    </w:p>
  </w:footnote>
  <w:footnote w:type="continuationSeparator" w:id="0">
    <w:p w:rsidR="00812E04" w:rsidRDefault="00812E04" w:rsidP="00E61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AD5801"/>
    <w:multiLevelType w:val="singleLevel"/>
    <w:tmpl w:val="E2AD5801"/>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E6169E"/>
    <w:rsid w:val="000801A4"/>
    <w:rsid w:val="001B5D9D"/>
    <w:rsid w:val="00812E04"/>
    <w:rsid w:val="00C961BF"/>
    <w:rsid w:val="00D744AC"/>
    <w:rsid w:val="00E6169E"/>
    <w:rsid w:val="01E02E0E"/>
    <w:rsid w:val="024D3921"/>
    <w:rsid w:val="065C6003"/>
    <w:rsid w:val="0A1B5312"/>
    <w:rsid w:val="0D2579AE"/>
    <w:rsid w:val="0FC15B5D"/>
    <w:rsid w:val="0FC20E97"/>
    <w:rsid w:val="0FCB3166"/>
    <w:rsid w:val="1084784A"/>
    <w:rsid w:val="13C63397"/>
    <w:rsid w:val="14024F2F"/>
    <w:rsid w:val="1537484C"/>
    <w:rsid w:val="17BE5A14"/>
    <w:rsid w:val="1C5E6F47"/>
    <w:rsid w:val="1C9AAA82"/>
    <w:rsid w:val="258B1949"/>
    <w:rsid w:val="26695963"/>
    <w:rsid w:val="28C7519A"/>
    <w:rsid w:val="2A035BC3"/>
    <w:rsid w:val="2B797C93"/>
    <w:rsid w:val="2C130AF1"/>
    <w:rsid w:val="2C372E39"/>
    <w:rsid w:val="2EC87289"/>
    <w:rsid w:val="32717916"/>
    <w:rsid w:val="37621F23"/>
    <w:rsid w:val="38181ED6"/>
    <w:rsid w:val="393E4DDB"/>
    <w:rsid w:val="3EDC69DE"/>
    <w:rsid w:val="4CB15087"/>
    <w:rsid w:val="4D4A4019"/>
    <w:rsid w:val="4D84267C"/>
    <w:rsid w:val="4D8B3B2A"/>
    <w:rsid w:val="4D9724CF"/>
    <w:rsid w:val="5C675762"/>
    <w:rsid w:val="5DCD656D"/>
    <w:rsid w:val="60EF235F"/>
    <w:rsid w:val="656F538F"/>
    <w:rsid w:val="65E449AB"/>
    <w:rsid w:val="689E075E"/>
    <w:rsid w:val="6C297CA5"/>
    <w:rsid w:val="6ED2159A"/>
    <w:rsid w:val="71E428D1"/>
    <w:rsid w:val="72B8066E"/>
    <w:rsid w:val="7568637B"/>
    <w:rsid w:val="763F232A"/>
    <w:rsid w:val="77987BF1"/>
    <w:rsid w:val="77FF64C7"/>
    <w:rsid w:val="7DA37C8F"/>
    <w:rsid w:val="7E800D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TableOfAuthoring"/>
    <w:qFormat/>
    <w:rsid w:val="00E6169E"/>
    <w:pPr>
      <w:widowControl w:val="0"/>
      <w:jc w:val="both"/>
    </w:pPr>
    <w:rPr>
      <w:rFonts w:ascii="Calibri" w:hAnsi="Calibri" w:cs="Arial"/>
      <w:kern w:val="2"/>
      <w:sz w:val="21"/>
      <w:szCs w:val="22"/>
    </w:rPr>
  </w:style>
  <w:style w:type="paragraph" w:styleId="1">
    <w:name w:val="heading 1"/>
    <w:basedOn w:val="a"/>
    <w:next w:val="a"/>
    <w:qFormat/>
    <w:rsid w:val="00E6169E"/>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OfAuthoring">
    <w:name w:val="TableOfAuthoring"/>
    <w:basedOn w:val="a"/>
    <w:next w:val="a"/>
    <w:uiPriority w:val="99"/>
    <w:qFormat/>
    <w:rsid w:val="00E6169E"/>
    <w:pPr>
      <w:ind w:leftChars="200" w:left="420"/>
    </w:pPr>
    <w:rPr>
      <w:sz w:val="32"/>
      <w:szCs w:val="32"/>
    </w:rPr>
  </w:style>
  <w:style w:type="paragraph" w:styleId="a3">
    <w:name w:val="footer"/>
    <w:basedOn w:val="a"/>
    <w:rsid w:val="00E6169E"/>
    <w:pPr>
      <w:tabs>
        <w:tab w:val="center" w:pos="4153"/>
        <w:tab w:val="right" w:pos="8306"/>
      </w:tabs>
      <w:snapToGrid w:val="0"/>
      <w:jc w:val="left"/>
    </w:pPr>
    <w:rPr>
      <w:sz w:val="18"/>
    </w:rPr>
  </w:style>
  <w:style w:type="paragraph" w:styleId="a4">
    <w:name w:val="header"/>
    <w:basedOn w:val="a"/>
    <w:rsid w:val="00E616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E616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EC023-12B9-42D1-B4D1-3F587BD1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V2156A</dc:creator>
  <cp:lastModifiedBy>lenovo</cp:lastModifiedBy>
  <cp:revision>3</cp:revision>
  <cp:lastPrinted>2022-03-17T09:05:00Z</cp:lastPrinted>
  <dcterms:created xsi:type="dcterms:W3CDTF">2022-05-09T07:30:00Z</dcterms:created>
  <dcterms:modified xsi:type="dcterms:W3CDTF">2022-05-09T07:39:00Z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3c55c063453c469eaf2707905abc14a0</vt:lpwstr>
  </property>
  <property fmtid="{D5CDD505-2E9C-101B-9397-08002B2CF9AE}" pid="3" name="KSOProductBuildVer">
    <vt:lpwstr>2052-11.8.2.10290</vt:lpwstr>
  </property>
</Properties>
</file>