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topLinePunct w:val="0"/>
        <w:autoSpaceDE/>
        <w:autoSpaceDN/>
        <w:bidi w:val="0"/>
        <w:adjustRightInd w:val="0"/>
        <w:snapToGrid w:val="0"/>
        <w:spacing w:after="0" w:line="560" w:lineRule="exact"/>
        <w:ind w:left="0" w:leftChars="0" w:right="0" w:rightChars="0"/>
        <w:jc w:val="center"/>
        <w:textAlignment w:val="auto"/>
        <w:rPr>
          <w:rFonts w:hint="eastAsia" w:ascii="方正小标宋简体" w:hAnsi="方正小标宋简体" w:eastAsia="方正小标宋简体" w:cs="方正小标宋简体"/>
          <w:kern w:val="0"/>
          <w:sz w:val="44"/>
          <w:szCs w:val="44"/>
          <w:lang w:val="en-US" w:eastAsia="zh-CN"/>
        </w:rPr>
      </w:pPr>
    </w:p>
    <w:p>
      <w:pPr>
        <w:keepNext w:val="0"/>
        <w:keepLines w:val="0"/>
        <w:pageBreakBefore w:val="0"/>
        <w:widowControl/>
        <w:kinsoku/>
        <w:wordWrap/>
        <w:topLinePunct w:val="0"/>
        <w:autoSpaceDE/>
        <w:autoSpaceDN/>
        <w:bidi w:val="0"/>
        <w:adjustRightInd w:val="0"/>
        <w:snapToGrid w:val="0"/>
        <w:spacing w:after="0" w:line="560" w:lineRule="exact"/>
        <w:ind w:left="0" w:leftChars="0" w:right="0" w:rightChars="0"/>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长治市上党区行政审批服务管理局</w:t>
      </w:r>
    </w:p>
    <w:p>
      <w:pPr>
        <w:keepNext w:val="0"/>
        <w:keepLines w:val="0"/>
        <w:pageBreakBefore w:val="0"/>
        <w:widowControl/>
        <w:kinsoku/>
        <w:wordWrap/>
        <w:topLinePunct w:val="0"/>
        <w:autoSpaceDE/>
        <w:autoSpaceDN/>
        <w:bidi w:val="0"/>
        <w:adjustRightInd w:val="0"/>
        <w:snapToGrid w:val="0"/>
        <w:spacing w:after="0" w:line="560" w:lineRule="exact"/>
        <w:ind w:left="0" w:leftChars="0" w:right="0" w:rightChars="0"/>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行政审批告知承诺书</w:t>
      </w:r>
    </w:p>
    <w:p>
      <w:pPr>
        <w:keepNext w:val="0"/>
        <w:keepLines w:val="0"/>
        <w:pageBreakBefore w:val="0"/>
        <w:widowControl/>
        <w:kinsoku/>
        <w:wordWrap/>
        <w:topLinePunct w:val="0"/>
        <w:autoSpaceDE/>
        <w:autoSpaceDN/>
        <w:bidi w:val="0"/>
        <w:adjustRightInd w:val="0"/>
        <w:snapToGrid w:val="0"/>
        <w:spacing w:after="0" w:line="560" w:lineRule="exact"/>
        <w:ind w:left="0" w:leftChars="0" w:right="0" w:rightChars="0"/>
        <w:jc w:val="center"/>
        <w:textAlignment w:val="auto"/>
        <w:rPr>
          <w:rFonts w:hint="eastAsia" w:ascii="楷体" w:hAnsi="楷体" w:eastAsia="楷体" w:cs="楷体"/>
          <w:b w:val="0"/>
          <w:bCs w:val="0"/>
          <w:kern w:val="0"/>
          <w:sz w:val="28"/>
          <w:szCs w:val="28"/>
        </w:rPr>
      </w:pPr>
      <w:r>
        <w:rPr>
          <w:rFonts w:hint="eastAsia" w:ascii="楷体" w:hAnsi="楷体" w:eastAsia="楷体" w:cs="楷体"/>
          <w:b w:val="0"/>
          <w:bCs w:val="0"/>
          <w:kern w:val="0"/>
          <w:sz w:val="28"/>
          <w:szCs w:val="28"/>
        </w:rPr>
        <w:t>（</w:t>
      </w:r>
      <w:r>
        <w:rPr>
          <w:rFonts w:hint="eastAsia" w:ascii="楷体" w:hAnsi="楷体" w:eastAsia="楷体" w:cs="楷体"/>
          <w:b w:val="0"/>
          <w:bCs w:val="0"/>
          <w:sz w:val="28"/>
          <w:szCs w:val="28"/>
        </w:rPr>
        <w:t>兽药经营许可证（非生物制品类）</w:t>
      </w:r>
      <w:r>
        <w:rPr>
          <w:rFonts w:hint="eastAsia" w:ascii="楷体" w:hAnsi="楷体" w:eastAsia="楷体" w:cs="楷体"/>
          <w:b w:val="0"/>
          <w:bCs w:val="0"/>
          <w:sz w:val="28"/>
          <w:szCs w:val="28"/>
          <w:lang w:eastAsia="zh-CN"/>
        </w:rPr>
        <w:t>审批</w:t>
      </w:r>
      <w:r>
        <w:rPr>
          <w:rFonts w:hint="eastAsia" w:ascii="楷体" w:hAnsi="楷体" w:eastAsia="楷体" w:cs="楷体"/>
          <w:b w:val="0"/>
          <w:bCs w:val="0"/>
          <w:kern w:val="0"/>
          <w:sz w:val="28"/>
          <w:szCs w:val="28"/>
        </w:rPr>
        <w:t>）</w:t>
      </w: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int="eastAsia" w:hAnsi="方正楷体_GBK" w:cs="方正楷体_GBK"/>
          <w:bCs/>
          <w:u w:val="single"/>
          <w:lang w:val="en-US" w:eastAsia="zh-CN"/>
        </w:rPr>
      </w:pP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r>
        <w:rPr>
          <w:rFonts w:hint="eastAsia" w:ascii="黑体" w:hAnsi="黑体" w:eastAsia="黑体" w:cs="黑体"/>
          <w:b w:val="0"/>
          <w:bCs/>
        </w:rPr>
        <w:t>申请人（法人）单位名称</w:t>
      </w:r>
      <w:r>
        <w:rPr>
          <w:rFonts w:hint="eastAsia" w:hAnsi="方正楷体_GBK" w:cs="方正楷体_GBK"/>
          <w:b/>
          <w:bCs w:val="0"/>
        </w:rPr>
        <w:t>：</w:t>
      </w:r>
      <w:r>
        <w:rPr>
          <w:rFonts w:hint="eastAsia" w:hAnsi="方正楷体_GBK" w:cs="方正楷体_GBK"/>
          <w:bCs/>
          <w:u w:val="single"/>
        </w:rPr>
        <w:t xml:space="preserve">                               </w:t>
      </w:r>
      <w:r>
        <w:rPr>
          <w:rFonts w:hint="eastAsia" w:hAnsi="方正楷体_GBK" w:cs="方正楷体_GBK"/>
          <w:bCs/>
        </w:rPr>
        <w:t xml:space="preserve">    </w:t>
      </w: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r>
        <w:rPr>
          <w:rFonts w:hint="eastAsia" w:hAnsi="方正楷体_GBK" w:cs="方正楷体_GBK"/>
          <w:bCs/>
        </w:rPr>
        <w:t>住所：</w:t>
      </w:r>
      <w:r>
        <w:rPr>
          <w:rFonts w:hint="eastAsia" w:hAnsi="方正楷体_GBK" w:cs="方正楷体_GBK"/>
          <w:bCs/>
          <w:u w:val="single"/>
        </w:rPr>
        <w:t xml:space="preserve">                                                 </w:t>
      </w:r>
      <w:r>
        <w:rPr>
          <w:rFonts w:hint="eastAsia" w:hAnsi="方正楷体_GBK" w:cs="方正楷体_GBK"/>
          <w:bCs/>
        </w:rPr>
        <w:t xml:space="preserve"> </w:t>
      </w: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bookmarkStart w:id="0" w:name="OLE_LINK132"/>
      <w:bookmarkStart w:id="1" w:name="OLE_LINK131"/>
      <w:bookmarkStart w:id="2" w:name="OLE_LINK130"/>
      <w:r>
        <w:rPr>
          <w:rFonts w:hint="eastAsia" w:hAnsi="方正楷体_GBK" w:cs="方正楷体_GBK"/>
          <w:bCs/>
        </w:rPr>
        <w:t>统一社会信用代码</w:t>
      </w:r>
      <w:bookmarkEnd w:id="0"/>
      <w:bookmarkEnd w:id="1"/>
      <w:bookmarkEnd w:id="2"/>
      <w:r>
        <w:rPr>
          <w:rFonts w:hint="eastAsia" w:hAnsi="方正楷体_GBK" w:cs="方正楷体_GBK"/>
          <w:bCs/>
        </w:rPr>
        <w:t>：</w:t>
      </w:r>
      <w:r>
        <w:rPr>
          <w:rFonts w:hint="eastAsia" w:hAnsi="方正楷体_GBK" w:cs="方正楷体_GBK"/>
          <w:bCs/>
          <w:u w:val="single"/>
        </w:rPr>
        <w:t xml:space="preserve">                                     </w:t>
      </w:r>
      <w:r>
        <w:rPr>
          <w:rFonts w:hint="eastAsia" w:hAnsi="方正楷体_GBK" w:cs="方正楷体_GBK"/>
          <w:bCs/>
        </w:rPr>
        <w:t xml:space="preserve"> </w:t>
      </w: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r>
        <w:rPr>
          <w:rFonts w:hint="eastAsia" w:hAnsi="方正楷体_GBK" w:cs="方正楷体_GBK"/>
          <w:bCs/>
        </w:rPr>
        <w:t xml:space="preserve">法定代表人： </w:t>
      </w:r>
      <w:r>
        <w:rPr>
          <w:rFonts w:hint="eastAsia" w:hAnsi="方正楷体_GBK" w:cs="方正楷体_GBK"/>
          <w:bCs/>
          <w:u w:val="single"/>
        </w:rPr>
        <w:t xml:space="preserve">              </w:t>
      </w:r>
      <w:r>
        <w:rPr>
          <w:rFonts w:hint="eastAsia" w:hAnsi="方正楷体_GBK" w:cs="方正楷体_GBK"/>
          <w:bCs/>
        </w:rPr>
        <w:t>联系方式：</w:t>
      </w:r>
      <w:r>
        <w:rPr>
          <w:rFonts w:hint="eastAsia" w:hAnsi="方正楷体_GBK" w:cs="方正楷体_GBK"/>
          <w:bCs/>
          <w:u w:val="single"/>
        </w:rPr>
        <w:t xml:space="preserve">                  </w:t>
      </w:r>
      <w:r>
        <w:rPr>
          <w:rFonts w:hint="eastAsia" w:hAnsi="方正楷体_GBK" w:cs="方正楷体_GBK"/>
          <w:bCs/>
        </w:rPr>
        <w:t xml:space="preserve"> </w:t>
      </w: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int="eastAsia" w:hAnsi="方正楷体_GBK" w:cs="方正楷体_GBK"/>
          <w:bCs/>
        </w:rPr>
      </w:pP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int="eastAsia" w:hAnsi="方正楷体_GBK" w:cs="方正楷体_GBK"/>
          <w:bCs/>
          <w:u w:val="single"/>
        </w:rPr>
      </w:pPr>
      <w:r>
        <w:rPr>
          <w:rFonts w:hint="eastAsia" w:ascii="黑体" w:hAnsi="黑体" w:eastAsia="黑体" w:cs="黑体"/>
          <w:b w:val="0"/>
          <w:bCs/>
        </w:rPr>
        <w:t>申请人（</w:t>
      </w:r>
      <w:r>
        <w:rPr>
          <w:rFonts w:hint="eastAsia" w:ascii="黑体" w:hAnsi="黑体" w:eastAsia="黑体" w:cs="黑体"/>
          <w:b w:val="0"/>
          <w:bCs/>
          <w:lang w:val="en-US" w:eastAsia="zh-CN"/>
        </w:rPr>
        <w:t>自然人</w:t>
      </w:r>
      <w:r>
        <w:rPr>
          <w:rFonts w:hint="eastAsia" w:ascii="黑体" w:hAnsi="黑体" w:eastAsia="黑体" w:cs="黑体"/>
          <w:b w:val="0"/>
          <w:bCs/>
        </w:rPr>
        <w:t>）</w:t>
      </w:r>
      <w:r>
        <w:rPr>
          <w:rFonts w:hint="eastAsia" w:ascii="黑体" w:hAnsi="黑体" w:eastAsia="黑体" w:cs="黑体"/>
          <w:b w:val="0"/>
          <w:bCs/>
          <w:lang w:val="en-US" w:eastAsia="zh-CN"/>
        </w:rPr>
        <w:t>姓名</w:t>
      </w:r>
      <w:r>
        <w:rPr>
          <w:rFonts w:hint="eastAsia" w:hAnsi="方正楷体_GBK" w:cs="方正楷体_GBK"/>
          <w:b/>
          <w:bCs w:val="0"/>
        </w:rPr>
        <w:t>：</w:t>
      </w:r>
      <w:r>
        <w:rPr>
          <w:rFonts w:hint="eastAsia" w:hAnsi="方正楷体_GBK" w:cs="方正楷体_GBK"/>
          <w:bCs/>
          <w:u w:val="single"/>
        </w:rPr>
        <w:t xml:space="preserve">                               </w:t>
      </w:r>
      <w:r>
        <w:rPr>
          <w:rFonts w:hint="eastAsia" w:hAnsi="方正楷体_GBK" w:cs="方正楷体_GBK"/>
          <w:bCs/>
          <w:u w:val="single"/>
          <w:lang w:val="en-US" w:eastAsia="zh-CN"/>
        </w:rPr>
        <w:t xml:space="preserve">  </w:t>
      </w:r>
      <w:r>
        <w:rPr>
          <w:rFonts w:hint="eastAsia" w:hAnsi="方正楷体_GBK" w:cs="方正楷体_GBK"/>
          <w:bCs/>
          <w:u w:val="single"/>
        </w:rPr>
        <w:t xml:space="preserve">    </w:t>
      </w: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int="default" w:hAnsi="方正楷体_GBK" w:eastAsia="仿宋_GB2312" w:cs="方正楷体_GBK"/>
          <w:bCs/>
          <w:u w:val="single"/>
          <w:lang w:val="en-US" w:eastAsia="zh-CN"/>
        </w:rPr>
      </w:pPr>
      <w:r>
        <w:rPr>
          <w:rFonts w:hint="eastAsia" w:hAnsi="方正楷体_GBK" w:cs="方正楷体_GBK"/>
          <w:bCs/>
          <w:u w:val="none"/>
        </w:rPr>
        <w:t>证件类型：</w:t>
      </w:r>
      <w:r>
        <w:rPr>
          <w:rFonts w:hint="eastAsia" w:hAnsi="方正楷体_GBK" w:cs="方正楷体_GBK"/>
          <w:bCs/>
          <w:u w:val="single"/>
          <w:lang w:val="en-US" w:eastAsia="zh-CN"/>
        </w:rPr>
        <w:t xml:space="preserve">               </w:t>
      </w:r>
      <w:r>
        <w:rPr>
          <w:rFonts w:hint="eastAsia" w:hAnsi="方正楷体_GBK" w:cs="方正楷体_GBK"/>
          <w:bCs/>
          <w:u w:val="none"/>
        </w:rPr>
        <w:t>编号：</w:t>
      </w:r>
      <w:r>
        <w:rPr>
          <w:rFonts w:hint="eastAsia" w:hAnsi="方正楷体_GBK" w:cs="方正楷体_GBK"/>
          <w:bCs/>
          <w:u w:val="single"/>
          <w:lang w:val="en-US" w:eastAsia="zh-CN"/>
        </w:rPr>
        <w:t xml:space="preserve">             </w:t>
      </w:r>
      <w:r>
        <w:rPr>
          <w:rFonts w:hint="eastAsia" w:hAnsi="方正楷体_GBK" w:cs="方正楷体_GBK"/>
          <w:bCs/>
          <w:u w:val="single"/>
        </w:rPr>
        <w:t xml:space="preserve">       </w:t>
      </w:r>
      <w:r>
        <w:rPr>
          <w:rFonts w:hint="eastAsia" w:hAnsi="方正楷体_GBK" w:cs="方正楷体_GBK"/>
          <w:bCs/>
          <w:u w:val="single"/>
          <w:lang w:val="en-US" w:eastAsia="zh-CN"/>
        </w:rPr>
        <w:t xml:space="preserve">    </w:t>
      </w: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r>
        <w:rPr>
          <w:rFonts w:hint="eastAsia" w:hAnsi="方正楷体_GBK" w:cs="方正楷体_GBK"/>
          <w:bCs/>
          <w:lang w:val="en-US" w:eastAsia="zh-CN"/>
        </w:rPr>
        <w:t>住址</w:t>
      </w:r>
      <w:r>
        <w:rPr>
          <w:rFonts w:hint="eastAsia" w:hAnsi="方正楷体_GBK" w:cs="方正楷体_GBK"/>
          <w:bCs/>
        </w:rPr>
        <w:t>：</w:t>
      </w:r>
      <w:r>
        <w:rPr>
          <w:rFonts w:hint="eastAsia" w:hAnsi="方正楷体_GBK" w:cs="方正楷体_GBK"/>
          <w:bCs/>
          <w:u w:val="single"/>
        </w:rPr>
        <w:t xml:space="preserve">                                     </w:t>
      </w:r>
      <w:r>
        <w:rPr>
          <w:rFonts w:hint="eastAsia" w:hAnsi="方正楷体_GBK" w:cs="方正楷体_GBK"/>
          <w:bCs/>
          <w:u w:val="single"/>
          <w:lang w:val="en-US" w:eastAsia="zh-CN"/>
        </w:rPr>
        <w:t xml:space="preserve">            </w:t>
      </w:r>
      <w:r>
        <w:rPr>
          <w:rFonts w:hint="eastAsia" w:hAnsi="方正楷体_GBK" w:cs="方正楷体_GBK"/>
          <w:bCs/>
        </w:rPr>
        <w:t xml:space="preserve"> </w:t>
      </w: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r>
        <w:rPr>
          <w:rFonts w:hint="eastAsia" w:hAnsi="方正楷体_GBK" w:cs="方正楷体_GBK"/>
          <w:bCs/>
        </w:rPr>
        <w:t>联系方式：</w:t>
      </w:r>
      <w:r>
        <w:rPr>
          <w:rFonts w:hint="eastAsia" w:hAnsi="方正楷体_GBK" w:cs="方正楷体_GBK"/>
          <w:bCs/>
          <w:u w:val="single"/>
        </w:rPr>
        <w:t xml:space="preserve">                  </w:t>
      </w:r>
      <w:r>
        <w:rPr>
          <w:rFonts w:hint="eastAsia" w:hAnsi="方正楷体_GBK" w:cs="方正楷体_GBK"/>
          <w:bCs/>
          <w:u w:val="single"/>
          <w:lang w:val="en-US" w:eastAsia="zh-CN"/>
        </w:rPr>
        <w:t xml:space="preserve">                           </w:t>
      </w:r>
      <w:r>
        <w:rPr>
          <w:rFonts w:hint="eastAsia" w:hAnsi="方正楷体_GBK" w:cs="方正楷体_GBK"/>
          <w:bCs/>
        </w:rPr>
        <w:t xml:space="preserve"> </w:t>
      </w: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r>
        <w:rPr>
          <w:rFonts w:hint="eastAsia" w:ascii="黑体" w:hAnsi="黑体" w:eastAsia="黑体" w:cs="黑体"/>
          <w:b w:val="0"/>
          <w:bCs/>
        </w:rPr>
        <w:t>委托代理人</w:t>
      </w:r>
      <w:r>
        <w:rPr>
          <w:rFonts w:hint="eastAsia" w:hAnsi="方正楷体_GBK" w:cs="方正楷体_GBK"/>
          <w:b/>
          <w:bCs w:val="0"/>
        </w:rPr>
        <w:t>：</w:t>
      </w:r>
      <w:r>
        <w:rPr>
          <w:rFonts w:hint="eastAsia" w:hAnsi="方正楷体_GBK" w:cs="方正楷体_GBK"/>
          <w:bCs/>
          <w:u w:val="single"/>
        </w:rPr>
        <w:t xml:space="preserve">                                           </w:t>
      </w:r>
      <w:r>
        <w:rPr>
          <w:rFonts w:hint="eastAsia" w:hAnsi="方正楷体_GBK" w:cs="方正楷体_GBK"/>
          <w:bCs/>
        </w:rPr>
        <w:t xml:space="preserve"> </w:t>
      </w: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r>
        <w:rPr>
          <w:rFonts w:hint="eastAsia" w:hAnsi="方正楷体_GBK" w:cs="方正楷体_GBK"/>
          <w:bCs/>
        </w:rPr>
        <w:t>证件类型：</w:t>
      </w:r>
      <w:r>
        <w:rPr>
          <w:rFonts w:hint="eastAsia" w:hAnsi="方正楷体_GBK" w:cs="方正楷体_GBK"/>
          <w:bCs/>
          <w:u w:val="single"/>
        </w:rPr>
        <w:t xml:space="preserve">                 </w:t>
      </w:r>
      <w:r>
        <w:rPr>
          <w:rFonts w:hint="eastAsia" w:hAnsi="方正楷体_GBK" w:cs="方正楷体_GBK"/>
          <w:bCs/>
        </w:rPr>
        <w:t>编号：</w:t>
      </w:r>
      <w:r>
        <w:rPr>
          <w:rFonts w:hint="eastAsia" w:hAnsi="方正楷体_GBK" w:cs="方正楷体_GBK"/>
          <w:bCs/>
          <w:u w:val="single"/>
        </w:rPr>
        <w:t xml:space="preserve">                            </w:t>
      </w:r>
      <w:r>
        <w:rPr>
          <w:rFonts w:hint="eastAsia" w:hAnsi="方正楷体_GBK" w:cs="方正楷体_GBK"/>
          <w:bCs/>
        </w:rPr>
        <w:t xml:space="preserve"> </w:t>
      </w: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Cs/>
        </w:rPr>
      </w:pPr>
      <w:r>
        <w:rPr>
          <w:rFonts w:hint="eastAsia" w:hAnsi="方正楷体_GBK" w:cs="方正楷体_GBK"/>
          <w:bCs/>
        </w:rPr>
        <w:t>联系方式：</w:t>
      </w:r>
      <w:r>
        <w:rPr>
          <w:rFonts w:hint="eastAsia" w:hAnsi="方正楷体_GBK" w:cs="方正楷体_GBK"/>
          <w:bCs/>
          <w:u w:val="single"/>
        </w:rPr>
        <w:t xml:space="preserve">                                             </w:t>
      </w:r>
      <w:r>
        <w:rPr>
          <w:rFonts w:hint="eastAsia" w:hAnsi="方正楷体_GBK" w:cs="方正楷体_GBK"/>
          <w:bCs/>
        </w:rPr>
        <w:t xml:space="preserve"> </w:t>
      </w:r>
    </w:p>
    <w:p>
      <w:pPr>
        <w:pStyle w:val="9"/>
        <w:keepNext w:val="0"/>
        <w:keepLines w:val="0"/>
        <w:pageBreakBefore w:val="0"/>
        <w:widowControl/>
        <w:kinsoku/>
        <w:wordWrap/>
        <w:topLinePunct w:val="0"/>
        <w:autoSpaceDE/>
        <w:autoSpaceDN/>
        <w:bidi w:val="0"/>
        <w:spacing w:after="0" w:line="560" w:lineRule="exact"/>
        <w:ind w:left="0" w:leftChars="0" w:right="0" w:rightChars="0" w:firstLine="320" w:firstLineChars="100"/>
        <w:textAlignment w:val="auto"/>
      </w:pP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int="default" w:hAnsi="方正楷体_GBK" w:eastAsia="仿宋_GB2312" w:cs="方正楷体_GBK"/>
          <w:b/>
          <w:u w:val="single"/>
          <w:lang w:val="en-US" w:eastAsia="zh-CN"/>
        </w:rPr>
      </w:pPr>
      <w:r>
        <w:rPr>
          <w:rFonts w:hint="eastAsia" w:ascii="黑体" w:hAnsi="黑体" w:eastAsia="黑体" w:cs="黑体"/>
          <w:b w:val="0"/>
          <w:bCs/>
        </w:rPr>
        <w:t>审批部门</w:t>
      </w:r>
      <w:r>
        <w:rPr>
          <w:rFonts w:hint="eastAsia" w:hAnsi="方正楷体_GBK" w:cs="方正楷体_GBK"/>
          <w:b/>
        </w:rPr>
        <w:t>：</w:t>
      </w:r>
      <w:bookmarkStart w:id="3" w:name="OLE_LINK136"/>
      <w:bookmarkStart w:id="4" w:name="OLE_LINK137"/>
      <w:r>
        <w:rPr>
          <w:rFonts w:hint="eastAsia" w:hAnsi="方正楷体_GBK" w:cs="方正楷体_GBK"/>
          <w:b/>
          <w:u w:val="single"/>
        </w:rPr>
        <w:t xml:space="preserve">                                         </w:t>
      </w:r>
      <w:bookmarkEnd w:id="3"/>
      <w:bookmarkEnd w:id="4"/>
      <w:r>
        <w:rPr>
          <w:rFonts w:hint="eastAsia" w:hAnsi="方正楷体_GBK" w:cs="方正楷体_GBK"/>
          <w:b/>
          <w:u w:val="single"/>
          <w:lang w:val="en-US" w:eastAsia="zh-CN"/>
        </w:rPr>
        <w:t xml:space="preserve">    </w:t>
      </w:r>
    </w:p>
    <w:p>
      <w:pPr>
        <w:pStyle w:val="9"/>
        <w:keepNext w:val="0"/>
        <w:keepLines w:val="0"/>
        <w:pageBreakBefore w:val="0"/>
        <w:widowControl/>
        <w:kinsoku/>
        <w:wordWrap/>
        <w:topLinePunct w:val="0"/>
        <w:autoSpaceDE/>
        <w:autoSpaceDN/>
        <w:bidi w:val="0"/>
        <w:spacing w:after="0" w:line="560" w:lineRule="exact"/>
        <w:ind w:left="0" w:leftChars="0" w:right="0" w:rightChars="0" w:firstLine="0" w:firstLineChars="0"/>
        <w:textAlignment w:val="auto"/>
        <w:rPr>
          <w:rFonts w:hAnsi="方正楷体_GBK" w:cs="方正楷体_GBK"/>
          <w:b/>
        </w:rPr>
      </w:pPr>
      <w:r>
        <w:rPr>
          <w:rFonts w:hint="eastAsia"/>
        </w:rPr>
        <w:t>联系人姓名：</w:t>
      </w:r>
      <w:bookmarkStart w:id="5" w:name="OLE_LINK139"/>
      <w:bookmarkStart w:id="6" w:name="OLE_LINK138"/>
      <w:r>
        <w:rPr>
          <w:rFonts w:hint="eastAsia"/>
          <w:u w:val="single"/>
        </w:rPr>
        <w:t xml:space="preserve">                </w:t>
      </w:r>
      <w:r>
        <w:rPr>
          <w:rFonts w:hint="eastAsia"/>
        </w:rPr>
        <w:t>联系方式：</w:t>
      </w:r>
      <w:r>
        <w:rPr>
          <w:rFonts w:hint="eastAsia" w:hAnsi="方正楷体_GBK" w:cs="方正楷体_GBK"/>
          <w:b/>
          <w:u w:val="single"/>
        </w:rPr>
        <w:t xml:space="preserve">                   </w:t>
      </w:r>
      <w:bookmarkEnd w:id="5"/>
      <w:bookmarkEnd w:id="6"/>
    </w:p>
    <w:p>
      <w:pPr>
        <w:pStyle w:val="3"/>
        <w:keepNext w:val="0"/>
        <w:keepLines w:val="0"/>
        <w:pageBreakBefore w:val="0"/>
        <w:widowControl/>
        <w:kinsoku/>
        <w:wordWrap/>
        <w:topLinePunct w:val="0"/>
        <w:autoSpaceDE/>
        <w:autoSpaceDN/>
        <w:bidi w:val="0"/>
        <w:spacing w:after="0" w:line="560" w:lineRule="exact"/>
        <w:ind w:left="0" w:leftChars="0" w:right="0" w:rightChars="0"/>
        <w:jc w:val="center"/>
        <w:textAlignment w:val="auto"/>
        <w:rPr>
          <w:rFonts w:hint="eastAsia" w:ascii="方正小标宋简体" w:hAnsi="方正小标宋简体" w:eastAsia="方正小标宋简体" w:cs="方正小标宋简体"/>
          <w:sz w:val="44"/>
          <w:szCs w:val="44"/>
        </w:rPr>
        <w:sectPr>
          <w:footerReference r:id="rId5" w:type="default"/>
          <w:pgSz w:w="11906" w:h="16838"/>
          <w:pgMar w:top="1440" w:right="1800" w:bottom="1440" w:left="1800" w:header="851" w:footer="992" w:gutter="0"/>
          <w:cols w:space="425" w:num="1"/>
          <w:docGrid w:type="lines" w:linePitch="312" w:charSpace="0"/>
        </w:sectPr>
      </w:pPr>
    </w:p>
    <w:p>
      <w:pPr>
        <w:pStyle w:val="3"/>
        <w:keepNext w:val="0"/>
        <w:keepLines w:val="0"/>
        <w:pageBreakBefore w:val="0"/>
        <w:widowControl/>
        <w:kinsoku/>
        <w:wordWrap/>
        <w:topLinePunct w:val="0"/>
        <w:autoSpaceDE/>
        <w:autoSpaceDN/>
        <w:bidi w:val="0"/>
        <w:spacing w:after="0" w:line="560" w:lineRule="exact"/>
        <w:ind w:left="0" w:leftChars="0"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行政审批机关的告知</w:t>
      </w:r>
    </w:p>
    <w:p>
      <w:pPr>
        <w:pStyle w:val="3"/>
        <w:keepNext w:val="0"/>
        <w:keepLines w:val="0"/>
        <w:pageBreakBefore w:val="0"/>
        <w:widowControl/>
        <w:kinsoku/>
        <w:wordWrap/>
        <w:topLinePunct w:val="0"/>
        <w:autoSpaceDE/>
        <w:autoSpaceDN/>
        <w:bidi w:val="0"/>
        <w:spacing w:after="0" w:line="560" w:lineRule="exact"/>
        <w:ind w:left="0" w:leftChars="0" w:right="0" w:rightChars="0"/>
        <w:jc w:val="center"/>
        <w:textAlignment w:val="auto"/>
        <w:rPr>
          <w:rFonts w:hint="eastAsia" w:ascii="方正小标宋简体" w:hAnsi="方正小标宋简体" w:eastAsia="方正小标宋简体" w:cs="方正小标宋简体"/>
          <w:sz w:val="44"/>
          <w:szCs w:val="44"/>
        </w:rPr>
      </w:pP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按照“证照分离”改革全覆盖的相关要求，本行政审批机关就行政审批事项告知如下：</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一、审批依据</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本行政审批事项的依据为：</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兽药管理条例》第二十二条：“经营兽药的企业，应当具备下列条件：（一）与所经营的兽药相适应的兽药技术人员；（二）与所经营的兽药相适应的营业场所、设备、仓库设施；（三）与所经营的兽药相适应的质量管理机构或者人员；（四）兽药经营质量管理规范规定的其他经营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w:t>
      </w:r>
      <w:r>
        <w:rPr>
          <w:rFonts w:hint="eastAsia" w:ascii="仿宋_GB2312" w:hAnsi="仿宋_GB2312" w:eastAsia="仿宋_GB2312" w:cs="仿宋_GB2312"/>
          <w:sz w:val="32"/>
          <w:szCs w:val="32"/>
          <w:lang w:eastAsia="zh-CN"/>
        </w:rPr>
        <w:t>。</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二、法定条件</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本行政审批事项获得批准应当具备下列条件、标准和技术要求：</w:t>
      </w:r>
    </w:p>
    <w:p>
      <w:pPr>
        <w:keepNext w:val="0"/>
        <w:keepLines w:val="0"/>
        <w:pageBreakBefore w:val="0"/>
        <w:widowControl/>
        <w:kinsoku/>
        <w:wordWrap/>
        <w:overflowPunct/>
        <w:topLinePunct w:val="0"/>
        <w:autoSpaceDE/>
        <w:autoSpaceDN/>
        <w:bidi w:val="0"/>
        <w:spacing w:after="0" w:line="560" w:lineRule="exact"/>
        <w:ind w:left="0" w:leftChars="0" w:right="0" w:righ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1.机构与人员</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兽药经营企业直接负责的主管人员应当熟悉兽药管理法律、法规及政策规定，具备相应兽药专业知识。</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兽药经营企业应当配备与经营兽药相适应的质量管理人员。有条件的，可以建立质量管理机构。</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兽药经营企业主管质量的负责人和质量管理机构的负责人应当具备相应兽药专业知识，且其专业学历或技术职称应当符合</w:t>
      </w:r>
      <w:r>
        <w:rPr>
          <w:rFonts w:hint="eastAsia" w:ascii="仿宋_GB2312" w:hAnsi="仿宋_GB2312" w:eastAsia="仿宋_GB2312" w:cs="仿宋_GB2312"/>
          <w:sz w:val="32"/>
          <w:szCs w:val="32"/>
          <w:lang w:val="en-US" w:eastAsia="zh-CN"/>
        </w:rPr>
        <w:t>山西省农业农村</w:t>
      </w:r>
      <w:r>
        <w:rPr>
          <w:rFonts w:hint="eastAsia" w:ascii="仿宋_GB2312" w:hAnsi="仿宋_GB2312" w:eastAsia="仿宋_GB2312" w:cs="仿宋_GB2312"/>
          <w:sz w:val="32"/>
          <w:szCs w:val="32"/>
        </w:rPr>
        <w:t>行政管理部门的规定。</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质量管理人员应当具有兽药、兽医等相关专业中专以上学历，或者具有兽药、兽医等相关专业初级以上专业技术职称。经营兽用生物制品的，兽药质量管理人员应当具有兽药、兽医等相关专业大专以上学历，或者具有兽药、兽医等相关专业中级以上专业技术职称，并具备兽用生物制品专业知识。</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兽药质量管理人员不得在本企业以外的其他单位兼职。</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兽药经营企业从事兽药采购、保管、销售、技术服务等工作的人员，应当具有高中以上学历，并具有相应兽药、兽医等专业知识，熟悉兽药管理法律、法规及政策规定。</w:t>
      </w:r>
    </w:p>
    <w:p>
      <w:pPr>
        <w:keepNext w:val="0"/>
        <w:keepLines w:val="0"/>
        <w:pageBreakBefore w:val="0"/>
        <w:widowControl/>
        <w:kinsoku/>
        <w:wordWrap/>
        <w:overflowPunct/>
        <w:topLinePunct w:val="0"/>
        <w:autoSpaceDE/>
        <w:autoSpaceDN/>
        <w:bidi w:val="0"/>
        <w:spacing w:after="0" w:line="560" w:lineRule="exact"/>
        <w:ind w:left="0" w:leftChars="0" w:right="0" w:righ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2.场所与设施</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兽药经营企业应当具有固定的经营场所和仓库，其面积应当符合</w:t>
      </w:r>
      <w:r>
        <w:rPr>
          <w:rFonts w:hint="eastAsia" w:ascii="仿宋_GB2312" w:hAnsi="仿宋_GB2312" w:eastAsia="仿宋_GB2312" w:cs="仿宋_GB2312"/>
          <w:sz w:val="32"/>
          <w:szCs w:val="32"/>
          <w:lang w:val="en-US" w:eastAsia="zh-CN"/>
        </w:rPr>
        <w:t>山西省农业农村</w:t>
      </w:r>
      <w:r>
        <w:rPr>
          <w:rFonts w:hint="eastAsia" w:ascii="仿宋_GB2312" w:hAnsi="仿宋_GB2312" w:eastAsia="仿宋_GB2312" w:cs="仿宋_GB2312"/>
          <w:sz w:val="32"/>
          <w:szCs w:val="32"/>
        </w:rPr>
        <w:t>行政管理部门的规定。经营场所和仓库应当布局合理，相对独立。</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经营场所的面积、设施和设备应当与经营的兽药品种、经营规模相适应。兽药经营区域与生活区域、动物诊疗区域应当分别独立设置，避免交叉污染。</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兽药经营企业的经营地点应当与《兽药经营许可证》载明的地点一致。《兽药经营许可证》应当悬挂在经营场所的显著位置。</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兽药经营企业应当具有与经营的兽药品种、经营规模适应并能够保证兽药质量的常温库、阴凉库(柜)、冷库(柜)等仓库和相关设施、设备。</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仓库面积和相关设施、设备应当满足合格兽药区、不合格兽药区、待验兽药区、退货兽药区等不同区域划分和不同兽药品种分区、分类保管、储存的要求。</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兽药直营连锁经营企业在</w:t>
      </w:r>
      <w:r>
        <w:rPr>
          <w:rFonts w:hint="eastAsia" w:ascii="仿宋_GB2312" w:hAnsi="仿宋_GB2312" w:eastAsia="仿宋_GB2312" w:cs="仿宋_GB2312"/>
          <w:sz w:val="32"/>
          <w:szCs w:val="32"/>
          <w:lang w:eastAsia="zh-CN"/>
        </w:rPr>
        <w:t>上党</w:t>
      </w:r>
      <w:bookmarkStart w:id="9" w:name="_GoBack"/>
      <w:bookmarkEnd w:id="9"/>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内有多家经营门店的，可以统一配置仓储和相关设施、设备。</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兽药经营企业的经营场所和仓库的地面、墙壁、顶棚等应当平整、光洁，门、窗应当严密、易清洁。</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企业的经营场所和仓库应当具有下列设施、设备：与经营兽药相适应的货架、柜台；避光、通风、照明的设施、设备；与储存兽药相适应的控制温度、湿度的设施、设备；防尘、防潮、防霉、防污染和防虫、防鼠、防鸟的设施、设备；进行卫生清洁的设施、设备等。</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兽药经营企业经营场所和仓库的设施、设备应当齐备、整洁、完好，并根据兽药品种、类别、用途等设立醒目标志。</w:t>
      </w:r>
    </w:p>
    <w:p>
      <w:pPr>
        <w:keepNext w:val="0"/>
        <w:keepLines w:val="0"/>
        <w:pageBreakBefore w:val="0"/>
        <w:widowControl/>
        <w:kinsoku/>
        <w:wordWrap/>
        <w:overflowPunct/>
        <w:topLinePunct w:val="0"/>
        <w:autoSpaceDE/>
        <w:autoSpaceDN/>
        <w:bidi w:val="0"/>
        <w:spacing w:after="0" w:line="560" w:lineRule="exact"/>
        <w:ind w:left="0" w:leftChars="0" w:right="0" w:righ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3.规章制度</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兽药经营企业应当建立质量管理体系，制定管理制度、操作程序等质量管理文件。</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管理文件应当包括下列内容：企业质量管理目标；企业组织机构、岗位和人员职责；对供货单位和所购兽药的质量评估制度；兽药采购、验收、入库、陈列、储存、运输、销售、出库等环节的管理制度；环境卫生的管理制度；兽药不良反应报告制度；不合格兽药和退货兽药的管理制度；质量事故、质量查询和质量投诉的管理制度；企业记录、档案和凭证的管理制度；质量管理培训、考核制度。</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企业应当建立下列记录：人员培训、考核记录；控制温度、湿度的设施、设备的维护、保养、清洁、运行状态记录；兽药质量评估记录；兽药采购、验收、入库、储存、销售、出库等记录；兽药清查记录；兽药质量投诉、质量纠纷、质量事故、不良反应等记录；不合格兽药和退货兽药的处理记录；兽医行政管理部门的监督检查情况记录。</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记录应当真实、准确、完整、清晰，不得随意涂改、伪造和变造。确需修改的，应当签名、注明日期，原数据应当清晰可辨。</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企业应当建立兽药质量管理档案，设置档案管理室或者档案柜，并由专人负责。质量管理档案应当包括：人员档案、培训档案、设备设施档案、供应商质量评估档案、产品质量档案；开具的处方、进货及销售凭证；购销记录及本规范规定的其他记录。</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质量管理档案不得涂改，保存期限不得少于2年；购销等记录和凭证应当保存至产品有效期后一年。</w:t>
      </w:r>
    </w:p>
    <w:p>
      <w:pPr>
        <w:keepNext w:val="0"/>
        <w:keepLines w:val="0"/>
        <w:pageBreakBefore w:val="0"/>
        <w:widowControl/>
        <w:kinsoku/>
        <w:wordWrap/>
        <w:overflowPunct/>
        <w:topLinePunct w:val="0"/>
        <w:autoSpaceDE/>
        <w:autoSpaceDN/>
        <w:bidi w:val="0"/>
        <w:spacing w:after="0" w:line="560" w:lineRule="exact"/>
        <w:ind w:left="0" w:leftChars="0" w:right="0" w:righ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4.采购与入库</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兽药经营企业应当采购合法兽药产品。兽药经营企业应当对供货单位的资质、质量保证能力、质量信誉和产品批准证明文件进行审核，并与供货单位签订采购合同。</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企业购进兽药时，应当依照国家兽药管理规定、兽药标准和合同约定，对每批兽药的包装、标签、说明书、质量合格证等内容进行检查，符合要求的方可购进。必要时，应当对购进兽药进行检验或者委托兽药检验机构进行检验，检验报告应当与产品质量档案一起保存。</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企业应当保存采购兽药的有效凭证，建立真实、完整的采购记录，做到有效凭证、账、货相符。采购记录应当载明兽药的通用名称、商品名称、批准文号、批号、剂型、规格、有效期、生产单位、供货单位、购入数量、购入日期、经手人或者负责入等内容。</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兽药入库时，应当进行检查验收，并做好记录。</w:t>
      </w:r>
    </w:p>
    <w:p>
      <w:pPr>
        <w:keepNext w:val="0"/>
        <w:keepLines w:val="0"/>
        <w:pageBreakBefore w:val="0"/>
        <w:widowControl/>
        <w:kinsoku/>
        <w:wordWrap/>
        <w:overflowPunct/>
        <w:topLinePunct w:val="0"/>
        <w:autoSpaceDE/>
        <w:autoSpaceDN/>
        <w:bidi w:val="0"/>
        <w:spacing w:after="0" w:line="560" w:lineRule="exact"/>
        <w:ind w:left="0" w:leftChars="0" w:right="0" w:righ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5.陈列与储存</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列、储存兽药应当符合下列要求：按照品种、类别、用途以及温度、湿度等储存要求，分类、分区或者专库存放；按照兽药外包装图示标志的要求搬运和存放；与仓库地面、墙、顶等之间保持一定间距；内用兽药与外用兽药分开存放，兽用处方药与非处方药分开存放；易串味兽药、危险药品等特殊兽药与其他兽药分库存放；待验兽药、合格兽药、不合格兽药、退货兽药分区存放；同一企业的同一批号的产品集中存放。</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不同区域、不同类型的兽药应当具有明显的识别标识。标识应当放置准确、字迹清楚。</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不合格兽药以红色字体标识；待验和退货兽药以黄色字体标识；合格兽药以绿色字体标识。</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兽药经营企业应当定期对兽药及其陈列、储存的条件和设施、设备的运行状态进行检查，并做好记录。</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兽药经营企业应当及时清查兽医行政管理部门公布的假劣兽药，并做好记录。</w:t>
      </w:r>
    </w:p>
    <w:p>
      <w:pPr>
        <w:keepNext w:val="0"/>
        <w:keepLines w:val="0"/>
        <w:pageBreakBefore w:val="0"/>
        <w:widowControl/>
        <w:kinsoku/>
        <w:wordWrap/>
        <w:overflowPunct/>
        <w:topLinePunct w:val="0"/>
        <w:autoSpaceDE/>
        <w:autoSpaceDN/>
        <w:bidi w:val="0"/>
        <w:spacing w:after="0" w:line="560" w:lineRule="exact"/>
        <w:ind w:left="0" w:leftChars="0" w:right="0" w:righ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6.销售与运输</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企业销售兽药，应当遵循先产先出和按批号出库的原则。兽药出库时，应当进行检查、核对，建立出库记录。兽药出库记录应当包括兽药通用名称、商品名称、批号、剂型、规格、生产厂商、数量、日期、经手人或者负责人等内容。</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兽药经营企业应当建立销售记录。销售记录应当载明兽药通用名称、商品名称、批准文号、批号、有效期、剂型、规格、生产厂商、购货单位、销售数量、销售日期、经手人或者负责人等内容。</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兽药经营企业销售兽药，应当开具有效凭证，做到有效凭证、账、货、记录相符。</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兽药经营企业销售兽用处方药的，应当遵守兽用处方药管理规定；销售兽用中药材、中药饮片的，应当注明产地。</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兽药拆零销售时，不得拆开最小销售单元。</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兽药经营企业应当按照兽药外包装图示标志的要求运输兽药。有温度控制要求的兽药，在运输时应当采取必要的温度控制措施，并建立详细记录。</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三、应当提交的材料</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根据审批依据和法定条件，本行政审批事项获得批准，申请人应当提交下列材料：</w:t>
      </w:r>
    </w:p>
    <w:p>
      <w:pPr>
        <w:keepNext w:val="0"/>
        <w:keepLines w:val="0"/>
        <w:pageBreakBefore w:val="0"/>
        <w:widowControl/>
        <w:kinsoku/>
        <w:wordWrap/>
        <w:overflowPunct/>
        <w:topLinePunct w:val="0"/>
        <w:autoSpaceDE/>
        <w:autoSpaceDN/>
        <w:bidi w:val="0"/>
        <w:spacing w:after="0" w:line="560" w:lineRule="exact"/>
        <w:ind w:left="0" w:leftChars="0" w:right="0" w:righ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1.新申请兽药经营许可证的</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申请兽药经营许可证、有效期届满，需要继续经营兽药、兽药经营企业变更经营范围或经营地点的，应当按照新申请兽药经营许可证办理（有效期届满，需要继续经营兽药的，需要在《兽药经营许可证》有效期届满前6个月提交办理申请）。提交以下材料：</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（1）兽药经营许可证申请表；</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（2）企业</w:t>
      </w:r>
      <w:r>
        <w:rPr>
          <w:rFonts w:hint="eastAsia" w:ascii="仿宋_GB2312" w:hAnsi="仿宋_GB2312" w:eastAsia="仿宋_GB2312" w:cs="仿宋_GB2312"/>
          <w:color w:val="auto"/>
          <w:sz w:val="32"/>
          <w:szCs w:val="32"/>
          <w:lang w:val="en-US" w:eastAsia="zh-CN"/>
        </w:rPr>
        <w:t>人员</w:t>
      </w:r>
      <w:r>
        <w:rPr>
          <w:rFonts w:hint="eastAsia" w:ascii="仿宋_GB2312" w:hAnsi="仿宋_GB2312" w:eastAsia="仿宋_GB2312" w:cs="仿宋_GB2312"/>
          <w:color w:val="auto"/>
          <w:sz w:val="32"/>
          <w:szCs w:val="32"/>
        </w:rPr>
        <w:t>基本情况；</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（3）企业组织机构图，企业质量管理机构的设置与职能图；</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（4）经营场所和仓库的平面布局图及产权、租赁合同等材料复印件；</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（5）主要设施设备及其图片和说明；</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（6）兽药经营质量管理文件目录；</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（7）兽药经营质量管理记录样表目录；</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（8）拟销售兽药、原料药生产企业的《兽药生产许可证》《兽药GMP证书》和产品批准文号复印件；</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w:t>
      </w:r>
      <w:r>
        <w:rPr>
          <w:rFonts w:hint="eastAsia" w:ascii="仿宋_GB2312" w:hAnsi="仿宋_GB2312" w:eastAsia="仿宋_GB2312" w:cs="仿宋_GB2312"/>
          <w:sz w:val="32"/>
          <w:szCs w:val="32"/>
        </w:rPr>
        <w:t>原兽药经营许可证（有效期届满，需要继续经营兽药的、兽药经营企业变更经营范围或经营地点的提交）。</w:t>
      </w:r>
    </w:p>
    <w:p>
      <w:pPr>
        <w:keepNext w:val="0"/>
        <w:keepLines w:val="0"/>
        <w:pageBreakBefore w:val="0"/>
        <w:widowControl/>
        <w:kinsoku/>
        <w:wordWrap/>
        <w:overflowPunct/>
        <w:topLinePunct w:val="0"/>
        <w:autoSpaceDE/>
        <w:autoSpaceDN/>
        <w:bidi w:val="0"/>
        <w:spacing w:after="0" w:line="560" w:lineRule="exact"/>
        <w:ind w:left="0" w:leftChars="0" w:right="0" w:righ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2.变更兽药经营许可证的</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变更企业名称、法定代表人的，应当在办理</w:t>
      </w:r>
      <w:r>
        <w:rPr>
          <w:rFonts w:hint="eastAsia" w:ascii="仿宋_GB2312" w:hAnsi="仿宋_GB2312" w:eastAsia="仿宋_GB2312" w:cs="仿宋_GB2312"/>
          <w:sz w:val="32"/>
          <w:szCs w:val="32"/>
          <w:lang w:val="en-US" w:eastAsia="zh-CN"/>
        </w:rPr>
        <w:t>营业执照</w:t>
      </w:r>
      <w:r>
        <w:rPr>
          <w:rFonts w:hint="eastAsia" w:ascii="仿宋_GB2312" w:hAnsi="仿宋_GB2312" w:eastAsia="仿宋_GB2312" w:cs="仿宋_GB2312"/>
          <w:sz w:val="32"/>
          <w:szCs w:val="32"/>
        </w:rPr>
        <w:t>变更登记手续后</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个工作日内，在办理</w:t>
      </w:r>
      <w:r>
        <w:rPr>
          <w:rFonts w:hint="eastAsia" w:ascii="仿宋_GB2312" w:hAnsi="仿宋_GB2312" w:eastAsia="仿宋_GB2312" w:cs="仿宋_GB2312"/>
          <w:sz w:val="32"/>
          <w:szCs w:val="32"/>
          <w:lang w:val="en-US" w:eastAsia="zh-CN"/>
        </w:rPr>
        <w:t>营业执照</w:t>
      </w:r>
      <w:r>
        <w:rPr>
          <w:rFonts w:hint="eastAsia" w:ascii="仿宋_GB2312" w:hAnsi="仿宋_GB2312" w:eastAsia="仿宋_GB2312" w:cs="仿宋_GB2312"/>
          <w:sz w:val="32"/>
          <w:szCs w:val="32"/>
        </w:rPr>
        <w:t>变更登记手续后</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个工作日内，向原发证机关申请办理变更手续。提交以下材料：</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（1）兽药经营许可证变更申请表；</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）原兽药经营许可证。</w:t>
      </w:r>
    </w:p>
    <w:p>
      <w:pPr>
        <w:keepNext w:val="0"/>
        <w:keepLines w:val="0"/>
        <w:pageBreakBefore w:val="0"/>
        <w:widowControl/>
        <w:kinsoku/>
        <w:wordWrap/>
        <w:overflowPunct/>
        <w:topLinePunct w:val="0"/>
        <w:autoSpaceDE/>
        <w:autoSpaceDN/>
        <w:bidi w:val="0"/>
        <w:spacing w:after="0" w:line="560" w:lineRule="exact"/>
        <w:ind w:left="0" w:leftChars="0" w:right="0" w:righ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3.变更备案的</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经营场所面积、仓库位置、主管质量的负责人、质量管理机构的负责人、质量管理人员的，增加或减少仓库数量、面积以及相关设施、设备的，应当在变更后30个工作日内向原发证机关办理变更备案。提交以下材料：</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（1）兽药经营许可证变更备案表。</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四、“告知承诺制”审批方式应当提交的材料</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按照“告知承诺制”改革方式申请，本行政审批事项获得批准，申请人应当提交下列材料：</w:t>
      </w:r>
    </w:p>
    <w:p>
      <w:pPr>
        <w:keepNext w:val="0"/>
        <w:keepLines w:val="0"/>
        <w:pageBreakBefore w:val="0"/>
        <w:widowControl/>
        <w:kinsoku/>
        <w:wordWrap/>
        <w:overflowPunct/>
        <w:topLinePunct w:val="0"/>
        <w:autoSpaceDE/>
        <w:autoSpaceDN/>
        <w:bidi w:val="0"/>
        <w:spacing w:after="0" w:line="560" w:lineRule="exact"/>
        <w:ind w:left="0" w:leftChars="0" w:right="0" w:righ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1.新申请兽药经营许可证的</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申请兽药经营许可证、有效期届满，需要继续经营兽药、兽药经营企业变更经营范围或经营地点的，应当按照新申请兽药经营许可证办理（有效期届满，需要继续经营兽药的，需要在《兽药经营许可证》有效期届满前6个月提交办理申请）。提交以下材料：</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bookmarkStart w:id="7" w:name="OLE_LINK11"/>
      <w:r>
        <w:rPr>
          <w:rFonts w:hint="eastAsia" w:ascii="仿宋_GB2312" w:hAnsi="仿宋_GB2312" w:eastAsia="仿宋_GB2312" w:cs="仿宋_GB2312"/>
          <w:sz w:val="32"/>
          <w:szCs w:val="32"/>
        </w:rPr>
        <w:t>承诺书</w:t>
      </w:r>
      <w:bookmarkEnd w:id="7"/>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sz w:val="32"/>
          <w:szCs w:val="32"/>
        </w:rPr>
      </w:pPr>
      <w:bookmarkStart w:id="8" w:name="OLE_LINK9"/>
      <w:r>
        <w:rPr>
          <w:rFonts w:hint="eastAsia" w:ascii="仿宋_GB2312" w:hAnsi="仿宋_GB2312" w:eastAsia="仿宋_GB2312" w:cs="仿宋_GB2312"/>
          <w:sz w:val="32"/>
          <w:szCs w:val="32"/>
        </w:rPr>
        <w:t>（2）</w:t>
      </w:r>
      <w:bookmarkEnd w:id="8"/>
      <w:r>
        <w:rPr>
          <w:rFonts w:hint="eastAsia" w:ascii="仿宋_GB2312" w:hAnsi="仿宋_GB2312" w:eastAsia="仿宋_GB2312" w:cs="仿宋_GB2312"/>
          <w:sz w:val="32"/>
          <w:szCs w:val="32"/>
        </w:rPr>
        <w:t>兽药经营许可证申请表；</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（3）企业</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rPr>
        <w:t>基本情况；</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（4）企业组织机构图，企业质量管</w:t>
      </w:r>
      <w:r>
        <w:rPr>
          <w:rFonts w:hint="eastAsia" w:ascii="仿宋_GB2312" w:hAnsi="仿宋_GB2312" w:eastAsia="仿宋_GB2312" w:cs="仿宋_GB2312"/>
          <w:color w:val="auto"/>
          <w:sz w:val="32"/>
          <w:szCs w:val="32"/>
        </w:rPr>
        <w:t>理机构的设置与职能图；</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（5）经营场所和仓库的平面布局图及产权、租赁合同等材料复印件；</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（6）主要设施设备及其图片和说明；</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（7）兽药经营质量管理文件目录；</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（8）兽药经营质量管理记录样表目录；</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（9）拟销售兽药、原料药生产企业的《兽药生产许可证》《兽药GMP证书》和产品批准文号复印件；</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（10）原兽药经营许可证（有效期届满，需要继续经营兽药的、兽药经营企业变更经营范围或经营地点的提交）。</w:t>
      </w:r>
    </w:p>
    <w:p>
      <w:pPr>
        <w:keepNext w:val="0"/>
        <w:keepLines w:val="0"/>
        <w:pageBreakBefore w:val="0"/>
        <w:widowControl/>
        <w:kinsoku/>
        <w:wordWrap/>
        <w:overflowPunct/>
        <w:topLinePunct w:val="0"/>
        <w:autoSpaceDE/>
        <w:autoSpaceDN/>
        <w:bidi w:val="0"/>
        <w:spacing w:after="0" w:line="560" w:lineRule="exact"/>
        <w:ind w:left="0" w:leftChars="0" w:right="0" w:righ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2.变更兽药经营许可证的</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变更企业名称、法定代表人的，应当在办理</w:t>
      </w:r>
      <w:r>
        <w:rPr>
          <w:rFonts w:hint="eastAsia" w:ascii="仿宋_GB2312" w:hAnsi="仿宋_GB2312" w:eastAsia="仿宋_GB2312" w:cs="仿宋_GB2312"/>
          <w:sz w:val="32"/>
          <w:szCs w:val="32"/>
          <w:lang w:val="en-US" w:eastAsia="zh-CN"/>
        </w:rPr>
        <w:t>营业执照</w:t>
      </w:r>
      <w:r>
        <w:rPr>
          <w:rFonts w:hint="eastAsia" w:ascii="仿宋_GB2312" w:hAnsi="仿宋_GB2312" w:eastAsia="仿宋_GB2312" w:cs="仿宋_GB2312"/>
          <w:sz w:val="32"/>
          <w:szCs w:val="32"/>
        </w:rPr>
        <w:t>变更登记手续后</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个工作日内，在办理</w:t>
      </w:r>
      <w:r>
        <w:rPr>
          <w:rFonts w:hint="eastAsia" w:ascii="仿宋_GB2312" w:hAnsi="仿宋_GB2312" w:eastAsia="仿宋_GB2312" w:cs="仿宋_GB2312"/>
          <w:sz w:val="32"/>
          <w:szCs w:val="32"/>
          <w:lang w:val="en-US" w:eastAsia="zh-CN"/>
        </w:rPr>
        <w:t>营业执照</w:t>
      </w:r>
      <w:r>
        <w:rPr>
          <w:rFonts w:hint="eastAsia" w:ascii="仿宋_GB2312" w:hAnsi="仿宋_GB2312" w:eastAsia="仿宋_GB2312" w:cs="仿宋_GB2312"/>
          <w:sz w:val="32"/>
          <w:szCs w:val="32"/>
        </w:rPr>
        <w:t>变更登记手续后</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个工作日内，向原发证机关申请办理变更手续。提交以下材料：</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（1）承诺书；</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）兽药经营许可证变更申请表；</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原兽药经营许可证。</w:t>
      </w:r>
    </w:p>
    <w:p>
      <w:pPr>
        <w:keepNext w:val="0"/>
        <w:keepLines w:val="0"/>
        <w:pageBreakBefore w:val="0"/>
        <w:widowControl/>
        <w:kinsoku/>
        <w:wordWrap/>
        <w:overflowPunct/>
        <w:topLinePunct w:val="0"/>
        <w:autoSpaceDE/>
        <w:autoSpaceDN/>
        <w:bidi w:val="0"/>
        <w:spacing w:after="0" w:line="560" w:lineRule="exact"/>
        <w:ind w:left="0" w:leftChars="0" w:right="0" w:righ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3.变更备案的</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经营场所面积、仓库位置、主管质量的负责人、质量管理机构的负责人、质量管理人员的，增加或减少仓库数量、面积以及相关设施、设备的，应当在变更后30个工作日内向原发证机关办理变更备案。提交以下材料：</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（1）承诺书；</w:t>
      </w:r>
    </w:p>
    <w:p>
      <w:pPr>
        <w:keepNext w:val="0"/>
        <w:keepLines w:val="0"/>
        <w:pageBreakBefore w:val="0"/>
        <w:widowControl/>
        <w:kinsoku/>
        <w:wordWrap/>
        <w:overflowPunct/>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）兽药经营许可证变更备案表。</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五、承诺的期限和效力</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申请人愿意作出承诺的，在收到本告知承诺书之日起作出承诺。</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申请人作出符合上述“法定条件”，满足“应当提交的材料”，并愿按照“告知承诺制”审批方式申请的，提交签章的告知承诺书并提交按“告知承诺制”审批方式应当提交的材料后，行政审批机关将当场作出行政审批决定。</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申请人逾期不作出承诺的，行政审批机关将按照法律、法规和规章的有关规定实施行政审批。申请人作出不实承诺的，行政审批机关将依法作出处理，并由申请人依法承担相应的法律责任</w:t>
      </w:r>
      <w:r>
        <w:rPr>
          <w:rFonts w:hint="eastAsia" w:ascii="仿宋_GB2312" w:hAnsi="仿宋_GB2312" w:eastAsia="仿宋_GB2312" w:cs="仿宋_GB2312"/>
          <w:w w:val="100"/>
          <w:sz w:val="32"/>
          <w:szCs w:val="32"/>
          <w:lang w:eastAsia="zh-CN"/>
        </w:rPr>
        <w:t>。</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六、监督和法律责任</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仿宋_GB2312" w:hAnsi="仿宋_GB2312" w:eastAsia="仿宋_GB2312" w:cs="仿宋_GB2312"/>
          <w:sz w:val="32"/>
          <w:szCs w:val="32"/>
        </w:rPr>
        <w:t>本行政审批机关，将在作出准予行政审批决定后按照《中华人民共和国行政许可法》对审批决定（除涉及国家秘密、商业秘密或者个人隐私的外)进行公开，并及时推送给监督管理部门。发现申请人实际情况与承诺内容不符的，监督管理部门将要求其限期整改，整改后仍不符合条件的，及时推送给本行政审批机关，依法撤销行政审批决定。</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七、诚信管理</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有不良诚信记录或者存在经营异常名录、严重违法失信企业名单的市场主体，不予实行告知承诺制。对申请人作出承诺后，经核查实际情况与承诺信息不符的，将在行政审批机关的诚信档案系统留下记录，对申请人以后的同一行政审批申请，不再</w:t>
      </w:r>
      <w:r>
        <w:rPr>
          <w:rFonts w:hint="eastAsia" w:ascii="仿宋_GB2312" w:hAnsi="仿宋_GB2312" w:eastAsia="仿宋_GB2312" w:cs="仿宋_GB2312"/>
          <w:sz w:val="32"/>
          <w:szCs w:val="32"/>
          <w:lang w:val="en-US" w:eastAsia="zh-CN"/>
        </w:rPr>
        <w:t>适用</w:t>
      </w:r>
      <w:r>
        <w:rPr>
          <w:rFonts w:hint="eastAsia" w:ascii="仿宋_GB2312" w:hAnsi="仿宋_GB2312" w:eastAsia="仿宋_GB2312" w:cs="仿宋_GB2312"/>
          <w:sz w:val="32"/>
          <w:szCs w:val="32"/>
        </w:rPr>
        <w:t>告知承诺制。</w:t>
      </w:r>
    </w:p>
    <w:p>
      <w:pPr>
        <w:pStyle w:val="3"/>
        <w:keepNext w:val="0"/>
        <w:keepLines w:val="0"/>
        <w:pageBreakBefore w:val="0"/>
        <w:widowControl/>
        <w:kinsoku/>
        <w:wordWrap/>
        <w:overflowPunct/>
        <w:topLinePunct w:val="0"/>
        <w:autoSpaceDE/>
        <w:autoSpaceDN/>
        <w:bidi w:val="0"/>
        <w:adjustRightInd/>
        <w:snapToGrid/>
        <w:spacing w:after="0" w:line="560" w:lineRule="exact"/>
        <w:ind w:left="0" w:leftChars="0" w:right="0" w:rightChars="0"/>
        <w:jc w:val="left"/>
        <w:textAlignment w:val="auto"/>
      </w:pPr>
    </w:p>
    <w:p>
      <w:pPr>
        <w:pStyle w:val="3"/>
        <w:keepNext w:val="0"/>
        <w:keepLines w:val="0"/>
        <w:pageBreakBefore w:val="0"/>
        <w:widowControl/>
        <w:kinsoku/>
        <w:wordWrap/>
        <w:topLinePunct w:val="0"/>
        <w:autoSpaceDE/>
        <w:autoSpaceDN/>
        <w:bidi w:val="0"/>
        <w:spacing w:after="0" w:line="560" w:lineRule="exact"/>
        <w:ind w:left="0" w:leftChars="0" w:right="0" w:rightChars="0"/>
        <w:textAlignment w:val="auto"/>
      </w:pPr>
    </w:p>
    <w:p>
      <w:pPr>
        <w:pStyle w:val="3"/>
        <w:keepNext w:val="0"/>
        <w:keepLines w:val="0"/>
        <w:pageBreakBefore w:val="0"/>
        <w:widowControl/>
        <w:kinsoku/>
        <w:wordWrap/>
        <w:topLinePunct w:val="0"/>
        <w:autoSpaceDE/>
        <w:autoSpaceDN/>
        <w:bidi w:val="0"/>
        <w:spacing w:after="0" w:line="560" w:lineRule="exact"/>
        <w:ind w:left="0" w:leftChars="0" w:right="0" w:rightChars="0"/>
        <w:textAlignment w:val="auto"/>
      </w:pPr>
    </w:p>
    <w:p>
      <w:pPr>
        <w:pStyle w:val="3"/>
        <w:keepNext w:val="0"/>
        <w:keepLines w:val="0"/>
        <w:pageBreakBefore w:val="0"/>
        <w:widowControl/>
        <w:kinsoku/>
        <w:wordWrap/>
        <w:topLinePunct w:val="0"/>
        <w:autoSpaceDE/>
        <w:autoSpaceDN/>
        <w:bidi w:val="0"/>
        <w:spacing w:after="0" w:line="560" w:lineRule="exact"/>
        <w:ind w:left="0" w:leftChars="0" w:right="0" w:rightChars="0"/>
        <w:textAlignment w:val="auto"/>
      </w:pPr>
    </w:p>
    <w:p>
      <w:pPr>
        <w:pStyle w:val="3"/>
        <w:keepNext w:val="0"/>
        <w:keepLines w:val="0"/>
        <w:pageBreakBefore w:val="0"/>
        <w:widowControl/>
        <w:kinsoku/>
        <w:wordWrap/>
        <w:topLinePunct w:val="0"/>
        <w:autoSpaceDE/>
        <w:autoSpaceDN/>
        <w:bidi w:val="0"/>
        <w:spacing w:after="0" w:line="560" w:lineRule="exact"/>
        <w:ind w:left="0" w:leftChars="0" w:right="0" w:rightChars="0"/>
        <w:textAlignment w:val="auto"/>
      </w:pPr>
    </w:p>
    <w:p>
      <w:pPr>
        <w:pStyle w:val="3"/>
        <w:keepNext w:val="0"/>
        <w:keepLines w:val="0"/>
        <w:pageBreakBefore w:val="0"/>
        <w:widowControl/>
        <w:kinsoku/>
        <w:wordWrap/>
        <w:topLinePunct w:val="0"/>
        <w:autoSpaceDE/>
        <w:autoSpaceDN/>
        <w:bidi w:val="0"/>
        <w:spacing w:after="0" w:line="560" w:lineRule="exact"/>
        <w:ind w:left="0" w:leftChars="0" w:right="0" w:rightChars="0"/>
        <w:textAlignment w:val="auto"/>
      </w:pPr>
    </w:p>
    <w:p>
      <w:pPr>
        <w:pStyle w:val="3"/>
        <w:keepNext w:val="0"/>
        <w:keepLines w:val="0"/>
        <w:pageBreakBefore w:val="0"/>
        <w:widowControl/>
        <w:kinsoku/>
        <w:wordWrap/>
        <w:topLinePunct w:val="0"/>
        <w:autoSpaceDE/>
        <w:autoSpaceDN/>
        <w:bidi w:val="0"/>
        <w:spacing w:after="0" w:line="560" w:lineRule="exact"/>
        <w:ind w:left="0" w:leftChars="0" w:right="0" w:rightChars="0"/>
        <w:textAlignment w:val="auto"/>
      </w:pPr>
    </w:p>
    <w:p>
      <w:pPr>
        <w:pStyle w:val="3"/>
        <w:keepNext w:val="0"/>
        <w:keepLines w:val="0"/>
        <w:pageBreakBefore w:val="0"/>
        <w:widowControl/>
        <w:kinsoku/>
        <w:wordWrap/>
        <w:topLinePunct w:val="0"/>
        <w:autoSpaceDE/>
        <w:autoSpaceDN/>
        <w:bidi w:val="0"/>
        <w:spacing w:after="0" w:line="560" w:lineRule="exact"/>
        <w:ind w:left="0" w:leftChars="0" w:right="0" w:rightChars="0"/>
        <w:textAlignment w:val="auto"/>
      </w:pPr>
    </w:p>
    <w:p>
      <w:pPr>
        <w:pStyle w:val="3"/>
        <w:keepNext w:val="0"/>
        <w:keepLines w:val="0"/>
        <w:pageBreakBefore w:val="0"/>
        <w:widowControl/>
        <w:kinsoku/>
        <w:wordWrap/>
        <w:topLinePunct w:val="0"/>
        <w:autoSpaceDE/>
        <w:autoSpaceDN/>
        <w:bidi w:val="0"/>
        <w:spacing w:after="0" w:line="560" w:lineRule="exact"/>
        <w:ind w:left="0" w:leftChars="0" w:right="0" w:rightChars="0"/>
        <w:textAlignment w:val="auto"/>
      </w:pPr>
    </w:p>
    <w:p>
      <w:pPr>
        <w:pStyle w:val="3"/>
        <w:keepNext w:val="0"/>
        <w:keepLines w:val="0"/>
        <w:pageBreakBefore w:val="0"/>
        <w:widowControl/>
        <w:kinsoku/>
        <w:wordWrap/>
        <w:topLinePunct w:val="0"/>
        <w:autoSpaceDE/>
        <w:autoSpaceDN/>
        <w:bidi w:val="0"/>
        <w:spacing w:after="0" w:line="560" w:lineRule="exact"/>
        <w:ind w:left="0" w:leftChars="0" w:right="0" w:rightChars="0"/>
        <w:textAlignment w:val="auto"/>
      </w:pPr>
    </w:p>
    <w:p>
      <w:pPr>
        <w:pStyle w:val="3"/>
        <w:keepNext w:val="0"/>
        <w:keepLines w:val="0"/>
        <w:pageBreakBefore w:val="0"/>
        <w:widowControl/>
        <w:kinsoku/>
        <w:wordWrap/>
        <w:topLinePunct w:val="0"/>
        <w:autoSpaceDE/>
        <w:autoSpaceDN/>
        <w:bidi w:val="0"/>
        <w:spacing w:after="0" w:line="560" w:lineRule="exact"/>
        <w:ind w:left="0" w:leftChars="0" w:right="0" w:rightChars="0"/>
        <w:textAlignment w:val="auto"/>
      </w:pPr>
    </w:p>
    <w:p>
      <w:pPr>
        <w:pStyle w:val="3"/>
        <w:keepNext w:val="0"/>
        <w:keepLines w:val="0"/>
        <w:pageBreakBefore w:val="0"/>
        <w:widowControl/>
        <w:kinsoku/>
        <w:wordWrap/>
        <w:topLinePunct w:val="0"/>
        <w:autoSpaceDE/>
        <w:autoSpaceDN/>
        <w:bidi w:val="0"/>
        <w:spacing w:after="0" w:line="560" w:lineRule="exact"/>
        <w:ind w:left="0" w:leftChars="0" w:right="0" w:rightChars="0"/>
        <w:textAlignment w:val="auto"/>
      </w:pPr>
    </w:p>
    <w:p>
      <w:pPr>
        <w:pStyle w:val="3"/>
        <w:keepNext w:val="0"/>
        <w:keepLines w:val="0"/>
        <w:pageBreakBefore w:val="0"/>
        <w:widowControl/>
        <w:kinsoku/>
        <w:wordWrap/>
        <w:topLinePunct w:val="0"/>
        <w:autoSpaceDE/>
        <w:autoSpaceDN/>
        <w:bidi w:val="0"/>
        <w:spacing w:after="0" w:line="560" w:lineRule="exact"/>
        <w:ind w:left="0" w:leftChars="0" w:right="0" w:rightChars="0"/>
        <w:textAlignment w:val="auto"/>
      </w:pPr>
    </w:p>
    <w:p>
      <w:pPr>
        <w:pStyle w:val="3"/>
        <w:keepNext w:val="0"/>
        <w:keepLines w:val="0"/>
        <w:pageBreakBefore w:val="0"/>
        <w:widowControl/>
        <w:kinsoku/>
        <w:wordWrap/>
        <w:topLinePunct w:val="0"/>
        <w:autoSpaceDE/>
        <w:autoSpaceDN/>
        <w:bidi w:val="0"/>
        <w:spacing w:after="0" w:line="560" w:lineRule="exact"/>
        <w:ind w:left="0" w:leftChars="0" w:right="0" w:rightChars="0"/>
        <w:textAlignment w:val="auto"/>
      </w:pPr>
    </w:p>
    <w:p>
      <w:pPr>
        <w:pStyle w:val="3"/>
        <w:keepNext w:val="0"/>
        <w:keepLines w:val="0"/>
        <w:pageBreakBefore w:val="0"/>
        <w:widowControl/>
        <w:kinsoku/>
        <w:wordWrap/>
        <w:topLinePunct w:val="0"/>
        <w:autoSpaceDE/>
        <w:autoSpaceDN/>
        <w:bidi w:val="0"/>
        <w:spacing w:after="0" w:line="560" w:lineRule="exact"/>
        <w:ind w:left="0" w:leftChars="0" w:right="0" w:rightChars="0"/>
        <w:textAlignment w:val="auto"/>
      </w:pPr>
    </w:p>
    <w:p>
      <w:pPr>
        <w:pStyle w:val="3"/>
        <w:keepNext w:val="0"/>
        <w:keepLines w:val="0"/>
        <w:pageBreakBefore w:val="0"/>
        <w:widowControl/>
        <w:kinsoku/>
        <w:wordWrap/>
        <w:topLinePunct w:val="0"/>
        <w:autoSpaceDE/>
        <w:autoSpaceDN/>
        <w:bidi w:val="0"/>
        <w:spacing w:after="0" w:line="560" w:lineRule="exact"/>
        <w:ind w:left="0" w:leftChars="0" w:right="0" w:rightChars="0"/>
        <w:textAlignment w:val="auto"/>
      </w:pPr>
    </w:p>
    <w:p>
      <w:pPr>
        <w:pStyle w:val="3"/>
        <w:keepNext w:val="0"/>
        <w:keepLines w:val="0"/>
        <w:pageBreakBefore w:val="0"/>
        <w:widowControl/>
        <w:kinsoku/>
        <w:wordWrap/>
        <w:topLinePunct w:val="0"/>
        <w:autoSpaceDE/>
        <w:autoSpaceDN/>
        <w:bidi w:val="0"/>
        <w:spacing w:after="0" w:line="560" w:lineRule="exact"/>
        <w:ind w:left="0" w:leftChars="0" w:right="0" w:rightChars="0"/>
        <w:textAlignment w:val="auto"/>
      </w:pPr>
    </w:p>
    <w:p>
      <w:pPr>
        <w:pStyle w:val="2"/>
        <w:keepNext w:val="0"/>
        <w:keepLines w:val="0"/>
        <w:pageBreakBefore w:val="0"/>
        <w:widowControl/>
        <w:kinsoku/>
        <w:wordWrap/>
        <w:topLinePunct w:val="0"/>
        <w:autoSpaceDE/>
        <w:autoSpaceDN/>
        <w:bidi w:val="0"/>
        <w:spacing w:after="0" w:line="560" w:lineRule="exact"/>
        <w:ind w:left="0" w:leftChars="0" w:right="0" w:rightChars="0"/>
        <w:textAlignment w:val="auto"/>
        <w:rPr>
          <w:rFonts w:hint="eastAsia"/>
        </w:rPr>
      </w:pPr>
    </w:p>
    <w:p>
      <w:pPr>
        <w:keepNext w:val="0"/>
        <w:keepLines w:val="0"/>
        <w:pageBreakBefore w:val="0"/>
        <w:widowControl/>
        <w:kinsoku/>
        <w:wordWrap/>
        <w:topLinePunct w:val="0"/>
        <w:autoSpaceDE/>
        <w:autoSpaceDN/>
        <w:bidi w:val="0"/>
        <w:spacing w:after="0" w:line="560" w:lineRule="exact"/>
        <w:ind w:left="0" w:leftChars="0" w:right="0" w:rightChars="0"/>
        <w:jc w:val="center"/>
        <w:textAlignment w:val="auto"/>
        <w:rPr>
          <w:rFonts w:ascii="方正小标宋简体" w:hAnsi="仿宋" w:eastAsia="方正小标宋简体"/>
          <w:sz w:val="44"/>
          <w:szCs w:val="32"/>
        </w:rPr>
      </w:pPr>
      <w:r>
        <w:rPr>
          <w:rFonts w:hint="eastAsia" w:ascii="方正小标宋简体" w:hAnsi="仿宋" w:eastAsia="方正小标宋简体"/>
          <w:sz w:val="44"/>
          <w:szCs w:val="32"/>
        </w:rPr>
        <w:t>承诺书</w:t>
      </w:r>
    </w:p>
    <w:p>
      <w:pPr>
        <w:keepNext w:val="0"/>
        <w:keepLines w:val="0"/>
        <w:pageBreakBefore w:val="0"/>
        <w:widowControl/>
        <w:kinsoku/>
        <w:wordWrap/>
        <w:topLinePunct w:val="0"/>
        <w:autoSpaceDE/>
        <w:autoSpaceDN/>
        <w:bidi w:val="0"/>
        <w:spacing w:after="0" w:line="560" w:lineRule="exact"/>
        <w:ind w:left="0" w:leftChars="0" w:right="0" w:rightChars="0"/>
        <w:textAlignment w:val="auto"/>
      </w:pPr>
    </w:p>
    <w:p>
      <w:pPr>
        <w:pStyle w:val="9"/>
        <w:keepNext w:val="0"/>
        <w:keepLines w:val="0"/>
        <w:pageBreakBefore w:val="0"/>
        <w:widowControl/>
        <w:kinsoku/>
        <w:wordWrap/>
        <w:topLinePunct w:val="0"/>
        <w:autoSpaceDE/>
        <w:autoSpaceDN/>
        <w:bidi w:val="0"/>
        <w:spacing w:after="0" w:line="560" w:lineRule="exact"/>
        <w:ind w:left="0" w:leftChars="0" w:right="0" w:rightChars="0" w:firstLine="640"/>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申请人就申请的行政审批事项，郑重承诺如下：</w:t>
      </w:r>
    </w:p>
    <w:p>
      <w:pPr>
        <w:pStyle w:val="10"/>
        <w:keepNext w:val="0"/>
        <w:keepLines w:val="0"/>
        <w:pageBreakBefore w:val="0"/>
        <w:widowControl/>
        <w:kinsoku/>
        <w:wordWrap/>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所填写的相关信息真实、准确；</w:t>
      </w:r>
    </w:p>
    <w:p>
      <w:pPr>
        <w:pStyle w:val="10"/>
        <w:keepNext w:val="0"/>
        <w:keepLines w:val="0"/>
        <w:pageBreakBefore w:val="0"/>
        <w:widowControl/>
        <w:kinsoku/>
        <w:wordWrap/>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已经知悉审批部门告知的全部内容；</w:t>
      </w:r>
    </w:p>
    <w:p>
      <w:pPr>
        <w:pStyle w:val="10"/>
        <w:keepNext w:val="0"/>
        <w:keepLines w:val="0"/>
        <w:pageBreakBefore w:val="0"/>
        <w:widowControl/>
        <w:shd w:val="clear" w:color="auto" w:fill="FFFFFF"/>
        <w:kinsoku/>
        <w:wordWrap/>
        <w:overflowPunct w:val="0"/>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能够符合审批部门告知的申请条件，并按照规定接受后续核查；</w:t>
      </w:r>
    </w:p>
    <w:p>
      <w:pPr>
        <w:pStyle w:val="10"/>
        <w:keepNext w:val="0"/>
        <w:keepLines w:val="0"/>
        <w:pageBreakBefore w:val="0"/>
        <w:widowControl/>
        <w:shd w:val="clear" w:color="auto" w:fill="FFFFFF"/>
        <w:kinsoku/>
        <w:wordWrap/>
        <w:overflowPunct w:val="0"/>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能够提交审批部门告知的相关材料；</w:t>
      </w:r>
    </w:p>
    <w:p>
      <w:pPr>
        <w:keepNext w:val="0"/>
        <w:keepLines w:val="0"/>
        <w:pageBreakBefore w:val="0"/>
        <w:widowControl/>
        <w:shd w:val="clear" w:color="auto" w:fill="FFFFFF"/>
        <w:kinsoku/>
        <w:wordWrap/>
        <w:overflowPunct w:val="0"/>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愿意承担虚假承诺、承诺内容严重不实所引发的相应法律责任；</w:t>
      </w:r>
    </w:p>
    <w:p>
      <w:pPr>
        <w:keepNext w:val="0"/>
        <w:keepLines w:val="0"/>
        <w:pageBreakBefore w:val="0"/>
        <w:widowControl/>
        <w:kinsoku/>
        <w:wordWrap/>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所作承诺是本单位的真实意思表示。</w:t>
      </w:r>
    </w:p>
    <w:p>
      <w:pPr>
        <w:keepNext w:val="0"/>
        <w:keepLines w:val="0"/>
        <w:pageBreakBefore w:val="0"/>
        <w:widowControl/>
        <w:kinsoku/>
        <w:wordWrap/>
        <w:topLinePunct w:val="0"/>
        <w:autoSpaceDE/>
        <w:autoSpaceDN/>
        <w:bidi w:val="0"/>
        <w:spacing w:after="0" w:line="560" w:lineRule="exact"/>
        <w:ind w:left="0" w:leftChars="0" w:right="0" w:right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keepNext w:val="0"/>
        <w:keepLines w:val="0"/>
        <w:pageBreakBefore w:val="0"/>
        <w:widowControl/>
        <w:shd w:val="clear" w:color="auto" w:fill="FFFFFF"/>
        <w:kinsoku/>
        <w:wordWrap/>
        <w:overflowPunct w:val="0"/>
        <w:topLinePunct w:val="0"/>
        <w:autoSpaceDE/>
        <w:autoSpaceDN/>
        <w:bidi w:val="0"/>
        <w:spacing w:after="0" w:line="560" w:lineRule="exact"/>
        <w:ind w:left="1914" w:leftChars="870" w:right="0" w:rightChars="0" w:firstLine="1280" w:firstLineChars="4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申请人（签章） ：     </w:t>
      </w:r>
    </w:p>
    <w:p>
      <w:pPr>
        <w:keepNext w:val="0"/>
        <w:keepLines w:val="0"/>
        <w:pageBreakBefore w:val="0"/>
        <w:widowControl/>
        <w:shd w:val="clear" w:color="auto" w:fill="FFFFFF"/>
        <w:kinsoku/>
        <w:wordWrap/>
        <w:overflowPunct w:val="0"/>
        <w:topLinePunct w:val="0"/>
        <w:autoSpaceDE/>
        <w:autoSpaceDN/>
        <w:bidi w:val="0"/>
        <w:spacing w:after="0" w:line="560" w:lineRule="exact"/>
        <w:ind w:left="5440" w:leftChars="0" w:right="0" w:rightChars="0" w:hanging="5440" w:hangingChars="17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年    月    日                      </w:t>
      </w:r>
    </w:p>
    <w:p>
      <w:pPr>
        <w:keepNext w:val="0"/>
        <w:keepLines w:val="0"/>
        <w:pageBreakBefore w:val="0"/>
        <w:widowControl/>
        <w:kinsoku/>
        <w:wordWrap/>
        <w:topLinePunct w:val="0"/>
        <w:autoSpaceDE/>
        <w:autoSpaceDN/>
        <w:bidi w:val="0"/>
        <w:spacing w:after="0" w:line="560" w:lineRule="exact"/>
        <w:ind w:left="0" w:leftChars="0" w:right="0" w:right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ind w:left="0" w:leftChars="0" w:firstLine="0" w:firstLineChars="0"/>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textAlignment w:val="auto"/>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320" w:firstLineChars="100"/>
        <w:textAlignment w:val="auto"/>
        <w:rPr>
          <w:rFonts w:ascii="微软雅黑" w:hAnsi="微软雅黑" w:eastAsia="微软雅黑" w:cstheme="minorBidi"/>
          <w:sz w:val="22"/>
          <w:szCs w:val="22"/>
          <w:lang w:val="en-US" w:eastAsia="en-US" w:bidi="ar-SA"/>
        </w:rPr>
      </w:pPr>
      <w:r>
        <w:rPr>
          <w:rFonts w:hint="eastAsia" w:ascii="仿宋_GB2312" w:hAnsi="仿宋_GB2312" w:eastAsia="仿宋_GB2312" w:cs="仿宋_GB2312"/>
          <w:color w:val="000000"/>
          <w:sz w:val="32"/>
          <w:szCs w:val="32"/>
        </w:rPr>
        <w:t>本承诺书一式两份，审批部门和申请人各执一份。</w:t>
      </w: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NDcxN2VjNmQ4OThmZDBmZmExMWEyNjc0MzA0OTIifQ=="/>
  </w:docVars>
  <w:rsids>
    <w:rsidRoot w:val="00000000"/>
    <w:rsid w:val="05E166FB"/>
    <w:rsid w:val="08380BD4"/>
    <w:rsid w:val="086A3E23"/>
    <w:rsid w:val="19566FCE"/>
    <w:rsid w:val="1DAF753F"/>
    <w:rsid w:val="1ECE3948"/>
    <w:rsid w:val="1F1E32B5"/>
    <w:rsid w:val="20FE7EDD"/>
    <w:rsid w:val="228F61CA"/>
    <w:rsid w:val="244964F2"/>
    <w:rsid w:val="24A85C05"/>
    <w:rsid w:val="296C5519"/>
    <w:rsid w:val="2F3E3899"/>
    <w:rsid w:val="300E190B"/>
    <w:rsid w:val="39783B40"/>
    <w:rsid w:val="3A2744E3"/>
    <w:rsid w:val="40AC6D8F"/>
    <w:rsid w:val="48897EB8"/>
    <w:rsid w:val="4D653E14"/>
    <w:rsid w:val="535463C8"/>
    <w:rsid w:val="60793CED"/>
    <w:rsid w:val="6498618D"/>
    <w:rsid w:val="68641339"/>
    <w:rsid w:val="69AE4544"/>
    <w:rsid w:val="76E55FC5"/>
    <w:rsid w:val="789A4AB9"/>
    <w:rsid w:val="7C320349"/>
    <w:rsid w:val="7E062B1C"/>
    <w:rsid w:val="7F736AD3"/>
    <w:rsid w:val="FE7B7F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微软雅黑" w:hAnsi="微软雅黑" w:eastAsia="微软雅黑" w:cstheme="minorBidi"/>
      <w:sz w:val="22"/>
      <w:szCs w:val="22"/>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Emphasis"/>
    <w:basedOn w:val="7"/>
    <w:qFormat/>
    <w:uiPriority w:val="0"/>
    <w:rPr>
      <w:i/>
    </w:rPr>
  </w:style>
  <w:style w:type="paragraph" w:customStyle="1" w:styleId="9">
    <w:name w:val="公文正文"/>
    <w:basedOn w:val="1"/>
    <w:qFormat/>
    <w:uiPriority w:val="0"/>
    <w:pPr>
      <w:adjustRightInd w:val="0"/>
      <w:snapToGrid w:val="0"/>
      <w:spacing w:line="298" w:lineRule="auto"/>
      <w:ind w:firstLine="200" w:firstLineChars="200"/>
    </w:pPr>
    <w:rPr>
      <w:rFonts w:ascii="仿宋_GB2312" w:hAnsi="宋体" w:eastAsia="仿宋_GB2312" w:cs="仿宋_GB2312"/>
      <w:sz w:val="32"/>
      <w:szCs w:val="32"/>
    </w:rPr>
  </w:style>
  <w:style w:type="paragraph" w:styleId="10">
    <w:name w:val="List Paragraph"/>
    <w:basedOn w:val="1"/>
    <w:qFormat/>
    <w:uiPriority w:val="99"/>
    <w:pPr>
      <w:widowControl/>
      <w:ind w:firstLine="420"/>
    </w:pPr>
    <w:rPr>
      <w:rFonts w:ascii="Calibri" w:hAnsi="Calibri"/>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5159</Words>
  <Characters>5189</Characters>
  <Lines>0</Lines>
  <Paragraphs>0</Paragraphs>
  <TotalTime>52</TotalTime>
  <ScaleCrop>false</ScaleCrop>
  <LinksUpToDate>false</LinksUpToDate>
  <CharactersWithSpaces>5867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spj</cp:lastModifiedBy>
  <cp:lastPrinted>2021-07-31T12:57:00Z</cp:lastPrinted>
  <dcterms:modified xsi:type="dcterms:W3CDTF">2024-03-13T16:26:20Z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BBC01B3E396046268AE314334E2D4C8B_13</vt:lpwstr>
  </property>
</Properties>
</file>