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F197F5F">
      <w:pPr>
        <w:spacing w:line="500" w:lineRule="exact"/>
        <w:rPr>
          <w:rFonts w:hint="eastAsia" w:ascii="仿宋_GB2312" w:hAnsi="宋体" w:eastAsia="仿宋_GB2312"/>
          <w:sz w:val="32"/>
          <w:szCs w:val="48"/>
        </w:rPr>
      </w:pPr>
    </w:p>
    <w:p w14:paraId="751C7EAF">
      <w:pPr>
        <w:spacing w:line="500" w:lineRule="exact"/>
        <w:rPr>
          <w:rFonts w:hint="eastAsia" w:ascii="仿宋_GB2312" w:hAnsi="宋体" w:eastAsia="仿宋_GB2312"/>
          <w:sz w:val="32"/>
          <w:szCs w:val="48"/>
        </w:rPr>
      </w:pPr>
      <w:r>
        <w:rPr>
          <w:rFonts w:hint="eastAsia" w:ascii="仿宋_GB2312" w:hAnsi="宋体" w:eastAsia="仿宋_GB2312"/>
          <w:sz w:val="32"/>
          <w:szCs w:val="48"/>
        </w:rPr>
        <mc:AlternateContent>
          <mc:Choice Requires="wps">
            <w:drawing>
              <wp:anchor distT="0" distB="0" distL="114300" distR="114300" simplePos="0" relativeHeight="251659264" behindDoc="0" locked="0" layoutInCell="1" allowOverlap="1">
                <wp:simplePos x="0" y="0"/>
                <wp:positionH relativeFrom="column">
                  <wp:posOffset>-114300</wp:posOffset>
                </wp:positionH>
                <wp:positionV relativeFrom="paragraph">
                  <wp:posOffset>71120</wp:posOffset>
                </wp:positionV>
                <wp:extent cx="4905375" cy="1748155"/>
                <wp:effectExtent l="0" t="0" r="0" b="0"/>
                <wp:wrapNone/>
                <wp:docPr id="2" name="文本框 2"/>
                <wp:cNvGraphicFramePr/>
                <a:graphic xmlns:a="http://schemas.openxmlformats.org/drawingml/2006/main">
                  <a:graphicData uri="http://schemas.microsoft.com/office/word/2010/wordprocessingShape">
                    <wps:wsp>
                      <wps:cNvSpPr txBox="1"/>
                      <wps:spPr>
                        <a:xfrm>
                          <a:off x="0" y="0"/>
                          <a:ext cx="4905375" cy="1748155"/>
                        </a:xfrm>
                        <a:prstGeom prst="rect">
                          <a:avLst/>
                        </a:prstGeom>
                        <a:noFill/>
                        <a:ln w="15875">
                          <a:noFill/>
                        </a:ln>
                      </wps:spPr>
                      <wps:txbx>
                        <w:txbxContent>
                          <w:p w14:paraId="29F0FC33">
                            <w:pPr>
                              <w:jc w:val="distribute"/>
                              <w:rPr>
                                <w:rFonts w:hint="eastAsia" w:ascii="方正小标宋简体" w:hAnsi="方正小标宋简体" w:eastAsia="方正小标宋简体" w:cs="方正小标宋简体"/>
                                <w:color w:val="FF0000"/>
                                <w:spacing w:val="-16"/>
                                <w:w w:val="80"/>
                                <w:sz w:val="18"/>
                                <w:szCs w:val="18"/>
                              </w:rPr>
                            </w:pPr>
                            <w:r>
                              <w:rPr>
                                <w:rFonts w:hint="eastAsia" w:ascii="方正小标宋简体" w:hAnsi="方正小标宋简体" w:eastAsia="方正小标宋简体" w:cs="方正小标宋简体"/>
                                <w:color w:val="FF0000"/>
                                <w:spacing w:val="-16"/>
                                <w:w w:val="66"/>
                                <w:sz w:val="80"/>
                                <w:szCs w:val="80"/>
                              </w:rPr>
                              <w:t>长治市上党区卫生健康和体育局</w:t>
                            </w:r>
                          </w:p>
                          <w:p w14:paraId="3366C112">
                            <w:pPr>
                              <w:jc w:val="distribute"/>
                              <w:rPr>
                                <w:rFonts w:hint="eastAsia" w:ascii="方正小标宋简体" w:hAnsi="方正小标宋简体" w:eastAsia="方正小标宋简体" w:cs="方正小标宋简体"/>
                                <w:color w:val="FF0000"/>
                                <w:spacing w:val="-16"/>
                                <w:w w:val="80"/>
                                <w:sz w:val="18"/>
                                <w:szCs w:val="18"/>
                                <w:lang w:eastAsia="zh-CN"/>
                              </w:rPr>
                            </w:pPr>
                            <w:r>
                              <w:rPr>
                                <w:rFonts w:hint="eastAsia" w:ascii="方正小标宋简体" w:hAnsi="方正小标宋简体" w:eastAsia="方正小标宋简体" w:cs="方正小标宋简体"/>
                                <w:color w:val="FF0000"/>
                                <w:spacing w:val="-16"/>
                                <w:w w:val="66"/>
                                <w:sz w:val="80"/>
                                <w:szCs w:val="80"/>
                              </w:rPr>
                              <w:t>长治市上党区</w:t>
                            </w:r>
                            <w:r>
                              <w:rPr>
                                <w:rFonts w:hint="eastAsia" w:ascii="方正小标宋简体" w:hAnsi="方正小标宋简体" w:eastAsia="方正小标宋简体" w:cs="方正小标宋简体"/>
                                <w:color w:val="FF0000"/>
                                <w:spacing w:val="-16"/>
                                <w:w w:val="66"/>
                                <w:sz w:val="80"/>
                                <w:szCs w:val="80"/>
                                <w:lang w:eastAsia="zh-CN"/>
                              </w:rPr>
                              <w:t>市场监督管理局</w:t>
                            </w:r>
                          </w:p>
                          <w:p w14:paraId="6C8ED89F">
                            <w:pPr>
                              <w:rPr>
                                <w:rFonts w:hint="eastAsia"/>
                              </w:rPr>
                            </w:pPr>
                          </w:p>
                        </w:txbxContent>
                      </wps:txbx>
                      <wps:bodyPr upright="1"/>
                    </wps:wsp>
                  </a:graphicData>
                </a:graphic>
              </wp:anchor>
            </w:drawing>
          </mc:Choice>
          <mc:Fallback>
            <w:pict>
              <v:shape id="_x0000_s1026" o:spid="_x0000_s1026" o:spt="202" type="#_x0000_t202" style="position:absolute;left:0pt;margin-left:-9pt;margin-top:5.6pt;height:137.65pt;width:386.25pt;z-index:251659264;mso-width-relative:page;mso-height-relative:page;" filled="f" stroked="f" coordsize="21600,21600" o:gfxdata="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">
                <v:fill on="f" focussize="0,0"/>
                <v:stroke on="f" weight="1.25pt"/>
                <v:imagedata o:title=""/>
                <o:lock v:ext="edit" aspectratio="f"/>
                <v:textbox>
                  <w:txbxContent>
                    <w:p w14:paraId="29F0FC33">
                      <w:pPr>
                        <w:jc w:val="distribute"/>
                        <w:rPr>
                          <w:rFonts w:hint="eastAsia" w:ascii="方正小标宋简体" w:hAnsi="方正小标宋简体" w:eastAsia="方正小标宋简体" w:cs="方正小标宋简体"/>
                          <w:color w:val="FF0000"/>
                          <w:spacing w:val="-16"/>
                          <w:w w:val="80"/>
                          <w:sz w:val="18"/>
                          <w:szCs w:val="18"/>
                        </w:rPr>
                      </w:pPr>
                      <w:r>
                        <w:rPr>
                          <w:rFonts w:hint="eastAsia" w:ascii="方正小标宋简体" w:hAnsi="方正小标宋简体" w:eastAsia="方正小标宋简体" w:cs="方正小标宋简体"/>
                          <w:color w:val="FF0000"/>
                          <w:spacing w:val="-16"/>
                          <w:w w:val="66"/>
                          <w:sz w:val="80"/>
                          <w:szCs w:val="80"/>
                        </w:rPr>
                        <w:t>长治市上党区卫生健康和体育局</w:t>
                      </w:r>
                    </w:p>
                    <w:p w14:paraId="3366C112">
                      <w:pPr>
                        <w:jc w:val="distribute"/>
                        <w:rPr>
                          <w:rFonts w:hint="eastAsia" w:ascii="方正小标宋简体" w:hAnsi="方正小标宋简体" w:eastAsia="方正小标宋简体" w:cs="方正小标宋简体"/>
                          <w:color w:val="FF0000"/>
                          <w:spacing w:val="-16"/>
                          <w:w w:val="80"/>
                          <w:sz w:val="18"/>
                          <w:szCs w:val="18"/>
                          <w:lang w:eastAsia="zh-CN"/>
                        </w:rPr>
                      </w:pPr>
                      <w:r>
                        <w:rPr>
                          <w:rFonts w:hint="eastAsia" w:ascii="方正小标宋简体" w:hAnsi="方正小标宋简体" w:eastAsia="方正小标宋简体" w:cs="方正小标宋简体"/>
                          <w:color w:val="FF0000"/>
                          <w:spacing w:val="-16"/>
                          <w:w w:val="66"/>
                          <w:sz w:val="80"/>
                          <w:szCs w:val="80"/>
                        </w:rPr>
                        <w:t>长治市上党区</w:t>
                      </w:r>
                      <w:r>
                        <w:rPr>
                          <w:rFonts w:hint="eastAsia" w:ascii="方正小标宋简体" w:hAnsi="方正小标宋简体" w:eastAsia="方正小标宋简体" w:cs="方正小标宋简体"/>
                          <w:color w:val="FF0000"/>
                          <w:spacing w:val="-16"/>
                          <w:w w:val="66"/>
                          <w:sz w:val="80"/>
                          <w:szCs w:val="80"/>
                          <w:lang w:eastAsia="zh-CN"/>
                        </w:rPr>
                        <w:t>市场监督管理局</w:t>
                      </w:r>
                    </w:p>
                    <w:p w14:paraId="6C8ED89F">
                      <w:pPr>
                        <w:rPr>
                          <w:rFonts w:hint="eastAsia"/>
                        </w:rPr>
                      </w:pPr>
                    </w:p>
                  </w:txbxContent>
                </v:textbox>
              </v:shape>
            </w:pict>
          </mc:Fallback>
        </mc:AlternateContent>
      </w:r>
    </w:p>
    <w:p w14:paraId="6164F846">
      <w:pPr>
        <w:spacing w:line="500" w:lineRule="exact"/>
        <w:rPr>
          <w:rFonts w:hint="eastAsia" w:ascii="仿宋_GB2312" w:hAnsi="宋体" w:eastAsia="仿宋_GB2312"/>
          <w:sz w:val="32"/>
          <w:szCs w:val="48"/>
        </w:rPr>
      </w:pPr>
      <w:r>
        <w:rPr>
          <w:rFonts w:hint="eastAsia" w:ascii="仿宋_GB2312" w:hAnsi="宋体" w:eastAsia="仿宋_GB2312"/>
          <w:sz w:val="32"/>
          <w:szCs w:val="48"/>
        </w:rPr>
        <mc:AlternateContent>
          <mc:Choice Requires="wps">
            <w:drawing>
              <wp:anchor distT="0" distB="0" distL="114300" distR="114300" simplePos="0" relativeHeight="251660288" behindDoc="0" locked="0" layoutInCell="1" allowOverlap="1">
                <wp:simplePos x="0" y="0"/>
                <wp:positionH relativeFrom="column">
                  <wp:posOffset>4734560</wp:posOffset>
                </wp:positionH>
                <wp:positionV relativeFrom="paragraph">
                  <wp:posOffset>166370</wp:posOffset>
                </wp:positionV>
                <wp:extent cx="1167765" cy="1656080"/>
                <wp:effectExtent l="0" t="0" r="13335" b="1270"/>
                <wp:wrapNone/>
                <wp:docPr id="1" name="矩形 1"/>
                <wp:cNvGraphicFramePr/>
                <a:graphic xmlns:a="http://schemas.openxmlformats.org/drawingml/2006/main">
                  <a:graphicData uri="http://schemas.microsoft.com/office/word/2010/wordprocessingShape">
                    <wps:wsp>
                      <wps:cNvSpPr/>
                      <wps:spPr>
                        <a:xfrm>
                          <a:off x="0" y="0"/>
                          <a:ext cx="1167765" cy="1656080"/>
                        </a:xfrm>
                        <a:prstGeom prst="rect">
                          <a:avLst/>
                        </a:prstGeom>
                        <a:solidFill>
                          <a:srgbClr val="FFFFFF"/>
                        </a:solidFill>
                        <a:ln>
                          <a:noFill/>
                        </a:ln>
                      </wps:spPr>
                      <wps:txbx>
                        <w:txbxContent>
                          <w:p w14:paraId="49F3B180">
                            <w:pPr>
                              <w:rPr>
                                <w:rFonts w:ascii="方正小标宋_GBK" w:eastAsia="方正小标宋_GBK"/>
                                <w:color w:val="FF0000"/>
                                <w:sz w:val="80"/>
                                <w:szCs w:val="80"/>
                              </w:rPr>
                            </w:pPr>
                            <w:r>
                              <w:rPr>
                                <w:rFonts w:hint="eastAsia" w:ascii="方正小标宋简体" w:hAnsi="方正小标宋简体" w:eastAsia="方正小标宋简体" w:cs="方正小标宋简体"/>
                                <w:color w:val="FF0000"/>
                                <w:w w:val="90"/>
                                <w:sz w:val="80"/>
                                <w:szCs w:val="80"/>
                              </w:rPr>
                              <w:t>文件</w:t>
                            </w:r>
                          </w:p>
                          <w:p w14:paraId="793E48D5">
                            <w:pPr>
                              <w:rPr>
                                <w:rFonts w:hint="eastAsia"/>
                              </w:rPr>
                            </w:pPr>
                          </w:p>
                        </w:txbxContent>
                      </wps:txbx>
                      <wps:bodyPr upright="1"/>
                    </wps:wsp>
                  </a:graphicData>
                </a:graphic>
              </wp:anchor>
            </w:drawing>
          </mc:Choice>
          <mc:Fallback>
            <w:pict>
              <v:rect id="_x0000_s1026" o:spid="_x0000_s1026" o:spt="1" style="position:absolute;left:0pt;margin-left:372.8pt;margin-top:13.1pt;height:130.4pt;width:91.95pt;z-index:251660288;mso-width-relative:page;mso-height-relative:page;" fillcolor="#FFFFFF" filled="t" stroked="f" coordsize="21600,21600" o:gfxdata="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">
                <v:fill on="t" focussize="0,0"/>
                <v:stroke on="f"/>
                <v:imagedata o:title=""/>
                <o:lock v:ext="edit" aspectratio="f"/>
                <v:textbox>
                  <w:txbxContent>
                    <w:p w14:paraId="49F3B180">
                      <w:pPr>
                        <w:rPr>
                          <w:rFonts w:ascii="方正小标宋_GBK" w:eastAsia="方正小标宋_GBK"/>
                          <w:color w:val="FF0000"/>
                          <w:sz w:val="80"/>
                          <w:szCs w:val="80"/>
                        </w:rPr>
                      </w:pPr>
                      <w:r>
                        <w:rPr>
                          <w:rFonts w:hint="eastAsia" w:ascii="方正小标宋简体" w:hAnsi="方正小标宋简体" w:eastAsia="方正小标宋简体" w:cs="方正小标宋简体"/>
                          <w:color w:val="FF0000"/>
                          <w:w w:val="90"/>
                          <w:sz w:val="80"/>
                          <w:szCs w:val="80"/>
                        </w:rPr>
                        <w:t>文件</w:t>
                      </w:r>
                    </w:p>
                    <w:p w14:paraId="793E48D5">
                      <w:pPr>
                        <w:rPr>
                          <w:rFonts w:hint="eastAsia"/>
                        </w:rPr>
                      </w:pPr>
                    </w:p>
                  </w:txbxContent>
                </v:textbox>
              </v:rect>
            </w:pict>
          </mc:Fallback>
        </mc:AlternateContent>
      </w:r>
    </w:p>
    <w:p w14:paraId="19829010">
      <w:pPr>
        <w:spacing w:line="500" w:lineRule="exact"/>
        <w:rPr>
          <w:rFonts w:hint="eastAsia" w:ascii="仿宋_GB2312" w:hAnsi="宋体" w:eastAsia="仿宋_GB2312"/>
          <w:sz w:val="32"/>
          <w:szCs w:val="48"/>
        </w:rPr>
      </w:pPr>
    </w:p>
    <w:p w14:paraId="267A6AB2">
      <w:pPr>
        <w:spacing w:line="500" w:lineRule="exact"/>
        <w:rPr>
          <w:rFonts w:hint="eastAsia" w:ascii="仿宋_GB2312" w:hAnsi="宋体" w:eastAsia="仿宋_GB2312"/>
          <w:sz w:val="32"/>
          <w:szCs w:val="48"/>
        </w:rPr>
      </w:pPr>
      <w:r>
        <w:rPr>
          <w:rFonts w:hint="eastAsia" w:ascii="仿宋_GB2312" w:hAnsi="宋体" w:eastAsia="仿宋_GB2312"/>
          <w:sz w:val="32"/>
          <w:szCs w:val="48"/>
        </w:rPr>
        <w:t xml:space="preserve">                                             </w:t>
      </w:r>
    </w:p>
    <w:p w14:paraId="7473AD0F">
      <w:pPr>
        <w:spacing w:line="500" w:lineRule="exact"/>
        <w:rPr>
          <w:rFonts w:hint="eastAsia" w:ascii="仿宋_GB2312" w:hAnsi="宋体" w:eastAsia="仿宋_GB2312"/>
          <w:sz w:val="32"/>
          <w:szCs w:val="48"/>
        </w:rPr>
      </w:pPr>
    </w:p>
    <w:p w14:paraId="1FA9963A">
      <w:pPr>
        <w:spacing w:line="500" w:lineRule="exact"/>
        <w:rPr>
          <w:rFonts w:hint="eastAsia" w:ascii="仿宋_GB2312" w:hAnsi="宋体" w:eastAsia="仿宋_GB2312"/>
          <w:sz w:val="32"/>
          <w:szCs w:val="48"/>
        </w:rPr>
      </w:pPr>
    </w:p>
    <w:p w14:paraId="190DC141">
      <w:pPr>
        <w:spacing w:line="500" w:lineRule="exact"/>
        <w:rPr>
          <w:rFonts w:hint="eastAsia" w:ascii="仿宋_GB2312" w:hAnsi="宋体" w:eastAsia="仿宋_GB2312"/>
          <w:sz w:val="32"/>
          <w:szCs w:val="48"/>
        </w:rPr>
      </w:pPr>
    </w:p>
    <w:p w14:paraId="122CE9AE">
      <w:pPr>
        <w:spacing w:line="500" w:lineRule="exact"/>
        <w:rPr>
          <w:rFonts w:hint="eastAsia" w:ascii="仿宋_GB2312" w:hAnsi="宋体" w:eastAsia="仿宋_GB2312"/>
          <w:sz w:val="32"/>
          <w:szCs w:val="48"/>
        </w:rPr>
      </w:pPr>
    </w:p>
    <w:p w14:paraId="3041F13A">
      <w:pPr>
        <w:spacing w:line="500" w:lineRule="exact"/>
        <w:jc w:val="center"/>
        <w:rPr>
          <w:rFonts w:hint="eastAsia" w:ascii="仿宋_GB2312" w:hAnsi="宋体" w:eastAsia="仿宋_GB2312"/>
          <w:sz w:val="32"/>
          <w:szCs w:val="48"/>
        </w:rPr>
      </w:pPr>
      <w:r>
        <w:rPr>
          <w:rFonts w:hint="eastAsia" w:ascii="仿宋_GB2312" w:hAnsi="宋体" w:eastAsia="仿宋_GB2312"/>
          <w:sz w:val="32"/>
          <w:szCs w:val="48"/>
        </w:rPr>
        <w:t>长上卫字〔202</w:t>
      </w:r>
      <w:r>
        <w:rPr>
          <w:rFonts w:hint="eastAsia" w:ascii="仿宋_GB2312" w:hAnsi="宋体" w:eastAsia="仿宋_GB2312"/>
          <w:sz w:val="32"/>
          <w:szCs w:val="48"/>
          <w:lang w:val="en-US" w:eastAsia="zh-CN"/>
        </w:rPr>
        <w:t>6</w:t>
      </w:r>
      <w:r>
        <w:rPr>
          <w:rFonts w:hint="eastAsia" w:ascii="仿宋_GB2312" w:hAnsi="宋体" w:eastAsia="仿宋_GB2312"/>
          <w:sz w:val="32"/>
          <w:szCs w:val="48"/>
        </w:rPr>
        <w:t>〕</w:t>
      </w:r>
      <w:r>
        <w:rPr>
          <w:rFonts w:hint="eastAsia" w:ascii="仿宋_GB2312" w:hAnsi="宋体" w:eastAsia="仿宋_GB2312"/>
          <w:sz w:val="32"/>
          <w:szCs w:val="48"/>
          <w:lang w:val="en-US" w:eastAsia="zh-CN"/>
        </w:rPr>
        <w:t>12</w:t>
      </w:r>
      <w:r>
        <w:rPr>
          <w:rFonts w:hint="eastAsia" w:ascii="仿宋_GB2312" w:hAnsi="宋体" w:eastAsia="仿宋_GB2312"/>
          <w:sz w:val="32"/>
          <w:szCs w:val="48"/>
        </w:rPr>
        <w:t>号</w:t>
      </w:r>
    </w:p>
    <w:p w14:paraId="701E1F8E">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宋体" w:eastAsia="仿宋_GB2312"/>
          <w:sz w:val="32"/>
          <w:szCs w:val="48"/>
        </w:rPr>
      </w:pPr>
      <w:r>
        <w:rPr>
          <w:rFonts w:hint="eastAsia" w:ascii="仿宋_GB2312" w:hAnsi="宋体" w:eastAsia="仿宋_GB2312"/>
          <w:sz w:val="32"/>
          <w:szCs w:val="48"/>
        </w:rPr>
        <mc:AlternateContent>
          <mc:Choice Requires="wps">
            <w:drawing>
              <wp:anchor distT="0" distB="0" distL="114300" distR="114300" simplePos="0" relativeHeight="251661312" behindDoc="0" locked="0" layoutInCell="1" allowOverlap="1">
                <wp:simplePos x="0" y="0"/>
                <wp:positionH relativeFrom="column">
                  <wp:posOffset>-224155</wp:posOffset>
                </wp:positionH>
                <wp:positionV relativeFrom="paragraph">
                  <wp:posOffset>99060</wp:posOffset>
                </wp:positionV>
                <wp:extent cx="5992495" cy="41910"/>
                <wp:effectExtent l="0" t="19050" r="8255" b="34290"/>
                <wp:wrapNone/>
                <wp:docPr id="3" name="直接连接符 3"/>
                <wp:cNvGraphicFramePr/>
                <a:graphic xmlns:a="http://schemas.openxmlformats.org/drawingml/2006/main">
                  <a:graphicData uri="http://schemas.microsoft.com/office/word/2010/wordprocessingShape">
                    <wps:wsp>
                      <wps:cNvCnPr/>
                      <wps:spPr>
                        <a:xfrm flipV="1">
                          <a:off x="0" y="0"/>
                          <a:ext cx="5992495" cy="41910"/>
                        </a:xfrm>
                        <a:prstGeom prst="line">
                          <a:avLst/>
                        </a:prstGeom>
                        <a:ln w="38100" cap="flat" cmpd="sng">
                          <a:solidFill>
                            <a:srgbClr val="FF0000"/>
                          </a:solidFill>
                          <a:prstDash val="solid"/>
                          <a:headEnd type="none" w="med" len="med"/>
                          <a:tailEnd type="none" w="med" len="med"/>
                        </a:ln>
                      </wps:spPr>
                      <wps:bodyPr upright="1"/>
                    </wps:wsp>
                  </a:graphicData>
                </a:graphic>
              </wp:anchor>
            </w:drawing>
          </mc:Choice>
          <mc:Fallback>
            <w:pict>
              <v:line id="_x0000_s1026" o:spid="_x0000_s1026" o:spt="20" style="position:absolute;left:0pt;flip:y;margin-left:-17.65pt;margin-top:7.8pt;height:3.3pt;width:471.85pt;z-index:251661312;mso-width-relative:page;mso-height-relative:page;" filled="f" stroked="t" coordsize="21600,21600" o:gfxdata="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">
                <v:fill on="f" focussize="0,0"/>
                <v:stroke weight="3pt" color="#FF0000" joinstyle="round"/>
                <v:imagedata o:title=""/>
                <o:lock v:ext="edit" aspectratio="f"/>
              </v:line>
            </w:pict>
          </mc:Fallback>
        </mc:AlternateContent>
      </w:r>
    </w:p>
    <w:p w14:paraId="50D948D2">
      <w:pPr>
        <w:rPr>
          <w:rFonts w:hint="eastAsia"/>
        </w:rPr>
      </w:pPr>
    </w:p>
    <w:p w14:paraId="19C6BA81">
      <w:pPr>
        <w:keepNext w:val="0"/>
        <w:keepLines w:val="0"/>
        <w:pageBreakBefore w:val="0"/>
        <w:widowControl w:val="0"/>
        <w:kinsoku/>
        <w:wordWrap/>
        <w:overflowPunct/>
        <w:topLinePunct w:val="0"/>
        <w:autoSpaceDE/>
        <w:autoSpaceDN/>
        <w:bidi w:val="0"/>
        <w:adjustRightInd/>
        <w:snapToGrid/>
        <w:spacing w:line="640" w:lineRule="exact"/>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关于开展202</w:t>
      </w:r>
      <w:r>
        <w:rPr>
          <w:rFonts w:hint="eastAsia" w:ascii="方正小标宋简体" w:hAnsi="方正小标宋简体" w:eastAsia="方正小标宋简体" w:cs="方正小标宋简体"/>
          <w:sz w:val="44"/>
          <w:szCs w:val="44"/>
          <w:lang w:val="en-US" w:eastAsia="zh-CN"/>
        </w:rPr>
        <w:t>6</w:t>
      </w:r>
      <w:r>
        <w:rPr>
          <w:rFonts w:hint="eastAsia" w:ascii="方正小标宋简体" w:hAnsi="方正小标宋简体" w:eastAsia="方正小标宋简体" w:cs="方正小标宋简体"/>
          <w:sz w:val="44"/>
          <w:szCs w:val="44"/>
        </w:rPr>
        <w:t>年游泳馆、超市公共场所</w:t>
      </w:r>
    </w:p>
    <w:p w14:paraId="619F2576">
      <w:r>
        <w:rPr>
          <w:rFonts w:hint="eastAsia" w:ascii="方正小标宋简体" w:hAnsi="方正小标宋简体" w:eastAsia="方正小标宋简体" w:cs="方正小标宋简体"/>
          <w:sz w:val="44"/>
          <w:szCs w:val="44"/>
        </w:rPr>
        <w:t>“双随机、一公开”抽查检查工作实施方案</w:t>
      </w:r>
    </w:p>
    <w:p w14:paraId="057738F2"/>
    <w:p w14:paraId="1A32AF14">
      <w:pPr>
        <w:keepNext w:val="0"/>
        <w:keepLines w:val="0"/>
        <w:pageBreakBefore w:val="0"/>
        <w:widowControl w:val="0"/>
        <w:kinsoku/>
        <w:wordWrap/>
        <w:overflowPunct/>
        <w:topLinePunct w:val="0"/>
        <w:autoSpaceDE/>
        <w:autoSpaceDN/>
        <w:bidi w:val="0"/>
        <w:adjustRightInd/>
        <w:snapToGrid/>
        <w:spacing w:line="57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按照长治市市场监督管理局《关于制定2026年度“双随机、一公开”抽查计划的通知》要求，为积极落实“双随机、一公开”监管工作部署，持续优化我区营商环境，区卫生健康和体育局、区市场监督管理局决定联合开展2026年游泳馆、超市公共场所定向“双随机、一公开”抽查检查工作，特制定本实施方案。</w:t>
      </w:r>
    </w:p>
    <w:p w14:paraId="1591F7B3">
      <w:pPr>
        <w:keepNext w:val="0"/>
        <w:keepLines w:val="0"/>
        <w:pageBreakBefore w:val="0"/>
        <w:widowControl w:val="0"/>
        <w:kinsoku/>
        <w:wordWrap/>
        <w:overflowPunct/>
        <w:topLinePunct w:val="0"/>
        <w:autoSpaceDE/>
        <w:autoSpaceDN/>
        <w:bidi w:val="0"/>
        <w:adjustRightInd/>
        <w:snapToGrid/>
        <w:spacing w:line="570" w:lineRule="exact"/>
        <w:ind w:firstLine="640" w:firstLineChars="200"/>
        <w:textAlignment w:val="auto"/>
        <w:rPr>
          <w:rFonts w:hint="eastAsia" w:ascii="仿宋_GB2312" w:hAnsi="仿宋_GB2312" w:eastAsia="仿宋_GB2312" w:cs="仿宋_GB2312"/>
          <w:sz w:val="32"/>
          <w:szCs w:val="32"/>
        </w:rPr>
      </w:pPr>
      <w:r>
        <w:rPr>
          <w:rFonts w:hint="eastAsia" w:ascii="黑体" w:hAnsi="黑体" w:eastAsia="黑体" w:cs="黑体"/>
          <w:sz w:val="32"/>
          <w:szCs w:val="32"/>
        </w:rPr>
        <w:t>一、抽查检查对象和比例</w:t>
      </w:r>
    </w:p>
    <w:p w14:paraId="2E6FE22F">
      <w:pPr>
        <w:keepNext w:val="0"/>
        <w:keepLines w:val="0"/>
        <w:pageBreakBefore w:val="0"/>
        <w:widowControl w:val="0"/>
        <w:kinsoku/>
        <w:wordWrap/>
        <w:overflowPunct/>
        <w:topLinePunct w:val="0"/>
        <w:autoSpaceDE/>
        <w:autoSpaceDN/>
        <w:bidi w:val="0"/>
        <w:adjustRightInd/>
        <w:snapToGrid/>
        <w:spacing w:line="57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根据“双随机、一公开”监管工作统一部署，本次公共场所定向抽查对象为辖区内依法取得营业执照的游泳场馆及大型超市。2026年度将实施动态化、均衡化抽查机制，上半年与下半年抽查比例各占50%，通过科学分配检查任务、合理统筹检查时序，确保监管覆盖全面无死角、监管效能稳步提升，持续营造规范有序、公平竞争的市场环境。</w:t>
      </w:r>
    </w:p>
    <w:p w14:paraId="37AC2C8C">
      <w:pPr>
        <w:keepNext w:val="0"/>
        <w:keepLines w:val="0"/>
        <w:pageBreakBefore w:val="0"/>
        <w:widowControl w:val="0"/>
        <w:kinsoku/>
        <w:wordWrap/>
        <w:overflowPunct/>
        <w:topLinePunct w:val="0"/>
        <w:autoSpaceDE/>
        <w:autoSpaceDN/>
        <w:bidi w:val="0"/>
        <w:adjustRightInd/>
        <w:snapToGrid/>
        <w:spacing w:line="570" w:lineRule="exact"/>
        <w:ind w:firstLine="640" w:firstLineChars="200"/>
        <w:textAlignment w:val="auto"/>
        <w:rPr>
          <w:rFonts w:hint="eastAsia" w:ascii="黑体" w:hAnsi="黑体" w:eastAsia="黑体" w:cs="黑体"/>
          <w:sz w:val="32"/>
          <w:szCs w:val="32"/>
        </w:rPr>
      </w:pPr>
      <w:r>
        <w:rPr>
          <w:rFonts w:hint="eastAsia" w:ascii="黑体" w:hAnsi="黑体" w:eastAsia="黑体" w:cs="黑体"/>
          <w:sz w:val="32"/>
          <w:szCs w:val="32"/>
        </w:rPr>
        <w:t>二、抽查检查依据</w:t>
      </w:r>
    </w:p>
    <w:p w14:paraId="6B7DDD73">
      <w:pPr>
        <w:keepNext w:val="0"/>
        <w:keepLines w:val="0"/>
        <w:pageBreakBefore w:val="0"/>
        <w:widowControl w:val="0"/>
        <w:kinsoku/>
        <w:wordWrap/>
        <w:overflowPunct/>
        <w:topLinePunct w:val="0"/>
        <w:autoSpaceDE/>
        <w:autoSpaceDN/>
        <w:bidi w:val="0"/>
        <w:adjustRightInd/>
        <w:snapToGrid/>
        <w:spacing w:line="57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公共场所卫生管理条例》《中华人民共和国公司登记管理条例》《企业名称登记管理规定》《企业信息公示暂行条例》《企业公示信息抽查暂行办法》《企业经营异常名录管理暂行办法》等国家现行有效法律、行政法规及相关规定。</w:t>
      </w:r>
    </w:p>
    <w:p w14:paraId="24594890">
      <w:pPr>
        <w:keepNext w:val="0"/>
        <w:keepLines w:val="0"/>
        <w:pageBreakBefore w:val="0"/>
        <w:widowControl w:val="0"/>
        <w:kinsoku/>
        <w:wordWrap/>
        <w:overflowPunct/>
        <w:topLinePunct w:val="0"/>
        <w:autoSpaceDE/>
        <w:autoSpaceDN/>
        <w:bidi w:val="0"/>
        <w:adjustRightInd/>
        <w:snapToGrid/>
        <w:spacing w:line="570" w:lineRule="exact"/>
        <w:ind w:firstLine="640" w:firstLineChars="200"/>
        <w:textAlignment w:val="auto"/>
        <w:rPr>
          <w:rFonts w:hint="eastAsia" w:ascii="黑体" w:hAnsi="黑体" w:eastAsia="黑体" w:cs="黑体"/>
          <w:sz w:val="32"/>
          <w:szCs w:val="32"/>
        </w:rPr>
      </w:pPr>
      <w:r>
        <w:rPr>
          <w:rFonts w:hint="eastAsia" w:ascii="黑体" w:hAnsi="黑体" w:eastAsia="黑体" w:cs="黑体"/>
          <w:sz w:val="32"/>
          <w:szCs w:val="32"/>
        </w:rPr>
        <w:t>三、抽查检查内容</w:t>
      </w:r>
    </w:p>
    <w:p w14:paraId="591792C2">
      <w:pPr>
        <w:keepNext w:val="0"/>
        <w:keepLines w:val="0"/>
        <w:pageBreakBefore w:val="0"/>
        <w:widowControl w:val="0"/>
        <w:kinsoku/>
        <w:wordWrap/>
        <w:overflowPunct/>
        <w:topLinePunct w:val="0"/>
        <w:autoSpaceDE/>
        <w:autoSpaceDN/>
        <w:bidi w:val="0"/>
        <w:adjustRightInd/>
        <w:snapToGrid/>
        <w:spacing w:line="570" w:lineRule="exact"/>
        <w:ind w:firstLine="643" w:firstLineChars="200"/>
        <w:textAlignment w:val="auto"/>
        <w:rPr>
          <w:rFonts w:hint="eastAsia" w:ascii="楷体_GB2312" w:hAnsi="楷体_GB2312" w:eastAsia="楷体_GB2312" w:cs="楷体_GB2312"/>
          <w:b/>
          <w:bCs/>
          <w:sz w:val="32"/>
          <w:szCs w:val="32"/>
        </w:rPr>
      </w:pPr>
      <w:r>
        <w:rPr>
          <w:rFonts w:hint="eastAsia" w:ascii="楷体_GB2312" w:hAnsi="楷体_GB2312" w:eastAsia="楷体_GB2312" w:cs="楷体_GB2312"/>
          <w:b/>
          <w:bCs/>
          <w:sz w:val="32"/>
          <w:szCs w:val="32"/>
        </w:rPr>
        <w:t>（一）主体资质与经营场所检查</w:t>
      </w:r>
    </w:p>
    <w:p w14:paraId="2F1B8E2A">
      <w:pPr>
        <w:keepNext w:val="0"/>
        <w:keepLines w:val="0"/>
        <w:pageBreakBefore w:val="0"/>
        <w:widowControl w:val="0"/>
        <w:kinsoku/>
        <w:wordWrap/>
        <w:overflowPunct/>
        <w:topLinePunct w:val="0"/>
        <w:autoSpaceDE/>
        <w:autoSpaceDN/>
        <w:bidi w:val="0"/>
        <w:adjustRightInd/>
        <w:snapToGrid/>
        <w:spacing w:line="57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营业执照（登记证）合法有效情况；2.住所（经营场所）或驻在场所实际使用与登记信息一致性检查；3.法定代表人（负责人）任职资格及实际履职情况检查；4.经营（业务）范围中无需审批项目的合规经营情况检查。</w:t>
      </w:r>
    </w:p>
    <w:p w14:paraId="053FEBA1">
      <w:pPr>
        <w:keepNext w:val="0"/>
        <w:keepLines w:val="0"/>
        <w:pageBreakBefore w:val="0"/>
        <w:widowControl w:val="0"/>
        <w:kinsoku/>
        <w:wordWrap/>
        <w:overflowPunct/>
        <w:topLinePunct w:val="0"/>
        <w:autoSpaceDE/>
        <w:autoSpaceDN/>
        <w:bidi w:val="0"/>
        <w:adjustRightInd/>
        <w:snapToGrid/>
        <w:spacing w:line="570" w:lineRule="exact"/>
        <w:ind w:firstLine="643" w:firstLineChars="200"/>
        <w:textAlignment w:val="auto"/>
        <w:rPr>
          <w:rFonts w:hint="eastAsia" w:ascii="楷体_GB2312" w:hAnsi="楷体_GB2312" w:eastAsia="楷体_GB2312" w:cs="楷体_GB2312"/>
          <w:b/>
          <w:bCs/>
          <w:sz w:val="32"/>
          <w:szCs w:val="32"/>
        </w:rPr>
      </w:pPr>
      <w:r>
        <w:rPr>
          <w:rFonts w:hint="eastAsia" w:ascii="楷体_GB2312" w:hAnsi="楷体_GB2312" w:eastAsia="楷体_GB2312" w:cs="楷体_GB2312"/>
          <w:b/>
          <w:bCs/>
          <w:sz w:val="32"/>
          <w:szCs w:val="32"/>
        </w:rPr>
        <w:t>（二）登记事项规范检查</w:t>
      </w:r>
    </w:p>
    <w:p w14:paraId="03F93594">
      <w:pPr>
        <w:keepNext w:val="0"/>
        <w:keepLines w:val="0"/>
        <w:pageBreakBefore w:val="0"/>
        <w:widowControl w:val="0"/>
        <w:kinsoku/>
        <w:wordWrap/>
        <w:overflowPunct/>
        <w:topLinePunct w:val="0"/>
        <w:autoSpaceDE/>
        <w:autoSpaceDN/>
        <w:bidi w:val="0"/>
        <w:adjustRightInd/>
        <w:snapToGrid/>
        <w:spacing w:line="57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1.营业执照（登记证）规范使用情况；2.企业名称符合登记管理规定及规范使用情况；3.经营（驻在）期限合规情况；4.法定代表人、自然人股东身份真实性核实。</w:t>
      </w:r>
    </w:p>
    <w:p w14:paraId="7AD97473">
      <w:pPr>
        <w:keepNext w:val="0"/>
        <w:keepLines w:val="0"/>
        <w:pageBreakBefore w:val="0"/>
        <w:widowControl w:val="0"/>
        <w:kinsoku/>
        <w:wordWrap/>
        <w:overflowPunct/>
        <w:topLinePunct w:val="0"/>
        <w:autoSpaceDE/>
        <w:autoSpaceDN/>
        <w:bidi w:val="0"/>
        <w:adjustRightInd/>
        <w:snapToGrid/>
        <w:spacing w:line="570" w:lineRule="exact"/>
        <w:ind w:firstLine="643" w:firstLineChars="200"/>
        <w:textAlignment w:val="auto"/>
        <w:rPr>
          <w:rFonts w:hint="eastAsia" w:ascii="楷体_GB2312" w:hAnsi="楷体_GB2312" w:eastAsia="楷体_GB2312" w:cs="楷体_GB2312"/>
          <w:b/>
          <w:bCs/>
          <w:sz w:val="32"/>
          <w:szCs w:val="32"/>
        </w:rPr>
      </w:pPr>
      <w:r>
        <w:rPr>
          <w:rFonts w:hint="eastAsia" w:ascii="楷体_GB2312" w:hAnsi="楷体_GB2312" w:eastAsia="楷体_GB2312" w:cs="楷体_GB2312"/>
          <w:b/>
          <w:bCs/>
          <w:sz w:val="32"/>
          <w:szCs w:val="32"/>
        </w:rPr>
        <w:t>（三）公示信息合规检查</w:t>
      </w:r>
    </w:p>
    <w:p w14:paraId="688FCFE2">
      <w:pPr>
        <w:keepNext w:val="0"/>
        <w:keepLines w:val="0"/>
        <w:pageBreakBefore w:val="0"/>
        <w:widowControl w:val="0"/>
        <w:kinsoku/>
        <w:wordWrap/>
        <w:overflowPunct/>
        <w:topLinePunct w:val="0"/>
        <w:autoSpaceDE/>
        <w:autoSpaceDN/>
        <w:bidi w:val="0"/>
        <w:adjustRightInd/>
        <w:snapToGrid/>
        <w:spacing w:line="57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1.年度报告公示信息的真实性、准确性、完整性检查；2.即时公示信息的及时公示及内容合规性检查。</w:t>
      </w:r>
    </w:p>
    <w:p w14:paraId="73262102">
      <w:pPr>
        <w:keepNext w:val="0"/>
        <w:keepLines w:val="0"/>
        <w:pageBreakBefore w:val="0"/>
        <w:widowControl w:val="0"/>
        <w:kinsoku/>
        <w:wordWrap/>
        <w:overflowPunct/>
        <w:topLinePunct w:val="0"/>
        <w:autoSpaceDE/>
        <w:autoSpaceDN/>
        <w:bidi w:val="0"/>
        <w:adjustRightInd/>
        <w:snapToGrid/>
        <w:spacing w:line="570" w:lineRule="exact"/>
        <w:ind w:firstLine="643" w:firstLineChars="200"/>
        <w:textAlignment w:val="auto"/>
        <w:rPr>
          <w:rFonts w:hint="eastAsia" w:ascii="仿宋_GB2312" w:hAnsi="仿宋_GB2312" w:eastAsia="仿宋_GB2312" w:cs="仿宋_GB2312"/>
          <w:sz w:val="32"/>
          <w:szCs w:val="32"/>
        </w:rPr>
      </w:pPr>
      <w:r>
        <w:rPr>
          <w:rFonts w:hint="eastAsia" w:ascii="楷体_GB2312" w:hAnsi="楷体_GB2312" w:eastAsia="楷体_GB2312" w:cs="楷体_GB2312"/>
          <w:b/>
          <w:bCs/>
          <w:sz w:val="32"/>
          <w:szCs w:val="32"/>
        </w:rPr>
        <w:t>（四）卫生管理规范检查</w:t>
      </w:r>
    </w:p>
    <w:p w14:paraId="74598F54">
      <w:pPr>
        <w:keepNext w:val="0"/>
        <w:keepLines w:val="0"/>
        <w:pageBreakBefore w:val="0"/>
        <w:widowControl w:val="0"/>
        <w:kinsoku/>
        <w:wordWrap/>
        <w:overflowPunct/>
        <w:topLinePunct w:val="0"/>
        <w:autoSpaceDE/>
        <w:autoSpaceDN/>
        <w:bidi w:val="0"/>
        <w:adjustRightInd/>
        <w:snapToGrid/>
        <w:spacing w:line="57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持有有效卫生许可证情况；2.卫生管理制度（档案）建立及落实情况，卫生管理部门或专（兼）职卫生管理人员配备情况；3.从业人员有效健康合格证明持有情况；4.从业人员卫生知识培训组织实施情况；5.空气、水质、照明、噪声、顾客用品用具等卫生检测开展情况(检测频次、检测项目符合规定要求)；6.卫生许可证、卫生信誉度等级、卫生检测结果等信息公示情况。</w:t>
      </w:r>
    </w:p>
    <w:p w14:paraId="54A3B232">
      <w:pPr>
        <w:keepNext w:val="0"/>
        <w:keepLines w:val="0"/>
        <w:pageBreakBefore w:val="0"/>
        <w:widowControl w:val="0"/>
        <w:kinsoku/>
        <w:wordWrap/>
        <w:overflowPunct/>
        <w:topLinePunct w:val="0"/>
        <w:autoSpaceDE/>
        <w:autoSpaceDN/>
        <w:bidi w:val="0"/>
        <w:adjustRightInd/>
        <w:snapToGrid/>
        <w:spacing w:line="570" w:lineRule="exact"/>
        <w:ind w:firstLine="643" w:firstLineChars="200"/>
        <w:textAlignment w:val="auto"/>
        <w:rPr>
          <w:rFonts w:hint="eastAsia" w:ascii="楷体_GB2312" w:hAnsi="楷体_GB2312" w:eastAsia="楷体_GB2312" w:cs="楷体_GB2312"/>
          <w:b/>
          <w:bCs/>
          <w:sz w:val="32"/>
          <w:szCs w:val="32"/>
        </w:rPr>
      </w:pPr>
      <w:r>
        <w:rPr>
          <w:rFonts w:hint="eastAsia" w:ascii="楷体_GB2312" w:hAnsi="楷体_GB2312" w:eastAsia="楷体_GB2312" w:cs="楷体_GB2312"/>
          <w:b/>
          <w:bCs/>
          <w:sz w:val="32"/>
          <w:szCs w:val="32"/>
          <w:lang w:eastAsia="zh-CN"/>
        </w:rPr>
        <w:t>（五）</w:t>
      </w:r>
      <w:r>
        <w:rPr>
          <w:rFonts w:hint="eastAsia" w:ascii="楷体_GB2312" w:hAnsi="楷体_GB2312" w:eastAsia="楷体_GB2312" w:cs="楷体_GB2312"/>
          <w:b/>
          <w:bCs/>
          <w:sz w:val="32"/>
          <w:szCs w:val="32"/>
        </w:rPr>
        <w:t>设施设备与公共卫生间检查</w:t>
      </w:r>
    </w:p>
    <w:p w14:paraId="2C755D4C">
      <w:pPr>
        <w:keepNext w:val="0"/>
        <w:keepLines w:val="0"/>
        <w:pageBreakBefore w:val="0"/>
        <w:widowControl w:val="0"/>
        <w:kinsoku/>
        <w:wordWrap/>
        <w:overflowPunct/>
        <w:topLinePunct w:val="0"/>
        <w:autoSpaceDE/>
        <w:autoSpaceDN/>
        <w:bidi w:val="0"/>
        <w:adjustRightInd/>
        <w:snapToGrid/>
        <w:spacing w:line="57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1.病媒微生物防</w:t>
      </w:r>
      <w:r>
        <w:rPr>
          <w:rFonts w:hint="eastAsia" w:ascii="仿宋_GB2312" w:hAnsi="仿宋_GB2312" w:eastAsia="仿宋_GB2312" w:cs="仿宋_GB2312"/>
          <w:sz w:val="32"/>
          <w:szCs w:val="32"/>
          <w:lang w:eastAsia="zh-CN"/>
        </w:rPr>
        <w:t>制</w:t>
      </w:r>
      <w:r>
        <w:rPr>
          <w:rFonts w:hint="eastAsia" w:ascii="仿宋_GB2312" w:hAnsi="仿宋_GB2312" w:eastAsia="仿宋_GB2312" w:cs="仿宋_GB2312"/>
          <w:sz w:val="32"/>
          <w:szCs w:val="32"/>
        </w:rPr>
        <w:t>设施、废弃物存放设施设备的配备及规范使用情况；2.公共卫生间设置标准(面积、通风、照明等)及日常管理情况；3.游泳场所清洗、消毒、保洁、盥洗等设备设施的配备及规范使用情况；4.游泳场所浸脚消毒池的设置(尺寸、水深、位置)及规范使用情况。</w:t>
      </w:r>
    </w:p>
    <w:p w14:paraId="17E4FB12">
      <w:pPr>
        <w:keepNext w:val="0"/>
        <w:keepLines w:val="0"/>
        <w:pageBreakBefore w:val="0"/>
        <w:widowControl w:val="0"/>
        <w:kinsoku/>
        <w:wordWrap/>
        <w:overflowPunct/>
        <w:topLinePunct w:val="0"/>
        <w:autoSpaceDE/>
        <w:autoSpaceDN/>
        <w:bidi w:val="0"/>
        <w:adjustRightInd/>
        <w:snapToGrid/>
        <w:spacing w:line="570" w:lineRule="exact"/>
        <w:ind w:firstLine="643" w:firstLineChars="200"/>
        <w:textAlignment w:val="auto"/>
        <w:rPr>
          <w:rFonts w:hint="eastAsia" w:ascii="楷体_GB2312" w:hAnsi="楷体_GB2312" w:eastAsia="楷体_GB2312" w:cs="楷体_GB2312"/>
          <w:b/>
          <w:bCs/>
          <w:sz w:val="32"/>
          <w:szCs w:val="32"/>
        </w:rPr>
      </w:pPr>
      <w:r>
        <w:rPr>
          <w:rFonts w:hint="eastAsia" w:ascii="楷体_GB2312" w:hAnsi="楷体_GB2312" w:eastAsia="楷体_GB2312" w:cs="楷体_GB2312"/>
          <w:b/>
          <w:bCs/>
          <w:sz w:val="32"/>
          <w:szCs w:val="32"/>
          <w:lang w:eastAsia="zh-CN"/>
        </w:rPr>
        <w:t>（六）</w:t>
      </w:r>
      <w:r>
        <w:rPr>
          <w:rFonts w:hint="eastAsia" w:ascii="楷体_GB2312" w:hAnsi="楷体_GB2312" w:eastAsia="楷体_GB2312" w:cs="楷体_GB2312"/>
          <w:b/>
          <w:bCs/>
          <w:sz w:val="32"/>
          <w:szCs w:val="32"/>
        </w:rPr>
        <w:t>通风系统卫生检查</w:t>
      </w:r>
    </w:p>
    <w:p w14:paraId="2A699FF8">
      <w:pPr>
        <w:keepNext w:val="0"/>
        <w:keepLines w:val="0"/>
        <w:pageBreakBefore w:val="0"/>
        <w:widowControl w:val="0"/>
        <w:kinsoku/>
        <w:wordWrap/>
        <w:overflowPunct/>
        <w:topLinePunct w:val="0"/>
        <w:autoSpaceDE/>
        <w:autoSpaceDN/>
        <w:bidi w:val="0"/>
        <w:adjustRightInd/>
        <w:snapToGrid/>
        <w:spacing w:line="57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1.集中空调通风系统卫生档案建立完整性(含设计资料、维护记录、检测报告等)；2.集中空调通风系统卫生检测或卫生评价开展情况(符合规定频次及标准)；3.集中空调通风系统清洗消毒实施情况。</w:t>
      </w:r>
    </w:p>
    <w:p w14:paraId="13DE6B7C">
      <w:pPr>
        <w:keepNext w:val="0"/>
        <w:keepLines w:val="0"/>
        <w:pageBreakBefore w:val="0"/>
        <w:widowControl w:val="0"/>
        <w:kinsoku/>
        <w:wordWrap/>
        <w:overflowPunct/>
        <w:topLinePunct w:val="0"/>
        <w:autoSpaceDE/>
        <w:autoSpaceDN/>
        <w:bidi w:val="0"/>
        <w:adjustRightInd/>
        <w:snapToGrid/>
        <w:spacing w:line="570" w:lineRule="exact"/>
        <w:ind w:firstLine="643" w:firstLineChars="200"/>
        <w:textAlignment w:val="auto"/>
        <w:rPr>
          <w:rFonts w:hint="eastAsia" w:ascii="楷体_GB2312" w:hAnsi="楷体_GB2312" w:eastAsia="楷体_GB2312" w:cs="楷体_GB2312"/>
          <w:b/>
          <w:bCs/>
          <w:sz w:val="32"/>
          <w:szCs w:val="32"/>
        </w:rPr>
      </w:pPr>
      <w:r>
        <w:rPr>
          <w:rFonts w:hint="eastAsia" w:ascii="楷体_GB2312" w:hAnsi="楷体_GB2312" w:eastAsia="楷体_GB2312" w:cs="楷体_GB2312"/>
          <w:b/>
          <w:bCs/>
          <w:sz w:val="32"/>
          <w:szCs w:val="32"/>
          <w:lang w:eastAsia="zh-CN"/>
        </w:rPr>
        <w:t>（七）</w:t>
      </w:r>
      <w:r>
        <w:rPr>
          <w:rFonts w:hint="eastAsia" w:ascii="楷体_GB2312" w:hAnsi="楷体_GB2312" w:eastAsia="楷体_GB2312" w:cs="楷体_GB2312"/>
          <w:b/>
          <w:bCs/>
          <w:sz w:val="32"/>
          <w:szCs w:val="32"/>
        </w:rPr>
        <w:t>游泳馆用品用具管理检查</w:t>
      </w:r>
    </w:p>
    <w:p w14:paraId="16471C1E">
      <w:pPr>
        <w:keepNext w:val="0"/>
        <w:keepLines w:val="0"/>
        <w:pageBreakBefore w:val="0"/>
        <w:widowControl w:val="0"/>
        <w:kinsoku/>
        <w:wordWrap/>
        <w:overflowPunct/>
        <w:topLinePunct w:val="0"/>
        <w:autoSpaceDE/>
        <w:autoSpaceDN/>
        <w:bidi w:val="0"/>
        <w:adjustRightInd/>
        <w:snapToGrid/>
        <w:spacing w:line="57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1.公共用品用具清洗、消毒、保洁流程规范执行情况；2.一次性用品用具的采购、储存及规范使用情况；3.公共卫生用品检验合格证明及相关资料的索取、留存情况。</w:t>
      </w:r>
    </w:p>
    <w:p w14:paraId="12E2163A">
      <w:pPr>
        <w:keepNext w:val="0"/>
        <w:keepLines w:val="0"/>
        <w:pageBreakBefore w:val="0"/>
        <w:widowControl w:val="0"/>
        <w:kinsoku/>
        <w:wordWrap/>
        <w:overflowPunct/>
        <w:topLinePunct w:val="0"/>
        <w:autoSpaceDE/>
        <w:autoSpaceDN/>
        <w:bidi w:val="0"/>
        <w:adjustRightInd/>
        <w:snapToGrid/>
        <w:spacing w:line="570" w:lineRule="exact"/>
        <w:ind w:firstLine="643" w:firstLineChars="200"/>
        <w:textAlignment w:val="auto"/>
        <w:rPr>
          <w:rFonts w:hint="eastAsia" w:ascii="楷体_GB2312" w:hAnsi="楷体_GB2312" w:eastAsia="楷体_GB2312" w:cs="楷体_GB2312"/>
          <w:b/>
          <w:bCs/>
          <w:sz w:val="32"/>
          <w:szCs w:val="32"/>
        </w:rPr>
      </w:pPr>
      <w:r>
        <w:rPr>
          <w:rFonts w:hint="eastAsia" w:ascii="楷体_GB2312" w:hAnsi="楷体_GB2312" w:eastAsia="楷体_GB2312" w:cs="楷体_GB2312"/>
          <w:b/>
          <w:bCs/>
          <w:sz w:val="32"/>
          <w:szCs w:val="32"/>
        </w:rPr>
        <w:t>（八）危害健康事故处置检查</w:t>
      </w:r>
    </w:p>
    <w:p w14:paraId="18095EF2">
      <w:pPr>
        <w:keepNext w:val="0"/>
        <w:keepLines w:val="0"/>
        <w:pageBreakBefore w:val="0"/>
        <w:widowControl w:val="0"/>
        <w:kinsoku/>
        <w:wordWrap/>
        <w:overflowPunct/>
        <w:topLinePunct w:val="0"/>
        <w:autoSpaceDE/>
        <w:autoSpaceDN/>
        <w:bidi w:val="0"/>
        <w:adjustRightInd/>
        <w:snapToGrid/>
        <w:spacing w:line="57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1.危害健康事故应急预案制定及应急处置流程建立情况；2.危害健康事故报告制度执行情况(报告时限、报告内容符合规定)。</w:t>
      </w:r>
    </w:p>
    <w:p w14:paraId="166C64AE">
      <w:pPr>
        <w:keepNext w:val="0"/>
        <w:keepLines w:val="0"/>
        <w:pageBreakBefore w:val="0"/>
        <w:widowControl w:val="0"/>
        <w:kinsoku/>
        <w:wordWrap/>
        <w:overflowPunct/>
        <w:topLinePunct w:val="0"/>
        <w:autoSpaceDE/>
        <w:autoSpaceDN/>
        <w:bidi w:val="0"/>
        <w:adjustRightInd/>
        <w:snapToGrid/>
        <w:spacing w:line="570" w:lineRule="exact"/>
        <w:ind w:firstLine="643" w:firstLineChars="200"/>
        <w:textAlignment w:val="auto"/>
        <w:rPr>
          <w:rFonts w:hint="eastAsia" w:ascii="楷体_GB2312" w:hAnsi="楷体_GB2312" w:eastAsia="楷体_GB2312" w:cs="楷体_GB2312"/>
          <w:b/>
          <w:bCs/>
          <w:sz w:val="32"/>
          <w:szCs w:val="32"/>
        </w:rPr>
      </w:pPr>
      <w:r>
        <w:rPr>
          <w:rFonts w:hint="eastAsia" w:ascii="楷体_GB2312" w:hAnsi="楷体_GB2312" w:eastAsia="楷体_GB2312" w:cs="楷体_GB2312"/>
          <w:b/>
          <w:bCs/>
          <w:sz w:val="32"/>
          <w:szCs w:val="32"/>
        </w:rPr>
        <w:t>（九）禁止吸烟管理检查</w:t>
      </w:r>
    </w:p>
    <w:p w14:paraId="0DCB7870">
      <w:pPr>
        <w:keepNext w:val="0"/>
        <w:keepLines w:val="0"/>
        <w:pageBreakBefore w:val="0"/>
        <w:widowControl w:val="0"/>
        <w:kinsoku/>
        <w:wordWrap/>
        <w:overflowPunct/>
        <w:topLinePunct w:val="0"/>
        <w:autoSpaceDE/>
        <w:autoSpaceDN/>
        <w:bidi w:val="0"/>
        <w:adjustRightInd/>
        <w:snapToGrid/>
        <w:spacing w:line="57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1.室内公共场所醒目位置禁止吸烟警语和标志设置情况；2.室内公共场所禁止吸烟规定执行情况(无吸烟行为、无烟草广告等)。</w:t>
      </w:r>
    </w:p>
    <w:p w14:paraId="72C33005">
      <w:pPr>
        <w:keepNext w:val="0"/>
        <w:keepLines w:val="0"/>
        <w:pageBreakBefore w:val="0"/>
        <w:widowControl w:val="0"/>
        <w:kinsoku/>
        <w:wordWrap/>
        <w:overflowPunct/>
        <w:topLinePunct w:val="0"/>
        <w:autoSpaceDE/>
        <w:autoSpaceDN/>
        <w:bidi w:val="0"/>
        <w:adjustRightInd/>
        <w:snapToGrid/>
        <w:spacing w:line="570" w:lineRule="exact"/>
        <w:ind w:firstLine="640" w:firstLineChars="200"/>
        <w:textAlignment w:val="auto"/>
        <w:rPr>
          <w:rFonts w:hint="eastAsia" w:ascii="黑体" w:hAnsi="黑体" w:eastAsia="黑体" w:cs="黑体"/>
          <w:sz w:val="32"/>
          <w:szCs w:val="32"/>
        </w:rPr>
      </w:pPr>
      <w:r>
        <w:rPr>
          <w:rFonts w:hint="eastAsia" w:ascii="黑体" w:hAnsi="黑体" w:eastAsia="黑体" w:cs="黑体"/>
          <w:sz w:val="32"/>
          <w:szCs w:val="32"/>
        </w:rPr>
        <w:t>四、抽查检查时间</w:t>
      </w:r>
    </w:p>
    <w:p w14:paraId="03FAC257">
      <w:pPr>
        <w:keepNext w:val="0"/>
        <w:keepLines w:val="0"/>
        <w:pageBreakBefore w:val="0"/>
        <w:widowControl w:val="0"/>
        <w:kinsoku/>
        <w:wordWrap/>
        <w:overflowPunct/>
        <w:topLinePunct w:val="0"/>
        <w:autoSpaceDE/>
        <w:autoSpaceDN/>
        <w:bidi w:val="0"/>
        <w:adjustRightInd/>
        <w:snapToGrid/>
        <w:spacing w:line="57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上半年：2026年6月5日至6月25日</w:t>
      </w:r>
    </w:p>
    <w:p w14:paraId="0496B6D0">
      <w:pPr>
        <w:keepNext w:val="0"/>
        <w:keepLines w:val="0"/>
        <w:pageBreakBefore w:val="0"/>
        <w:widowControl w:val="0"/>
        <w:kinsoku/>
        <w:wordWrap/>
        <w:overflowPunct/>
        <w:topLinePunct w:val="0"/>
        <w:autoSpaceDE/>
        <w:autoSpaceDN/>
        <w:bidi w:val="0"/>
        <w:adjustRightInd/>
        <w:snapToGrid/>
        <w:spacing w:line="57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下半年：2026年11月10日至11月30日</w:t>
      </w:r>
    </w:p>
    <w:p w14:paraId="16D03B52">
      <w:pPr>
        <w:keepNext w:val="0"/>
        <w:keepLines w:val="0"/>
        <w:pageBreakBefore w:val="0"/>
        <w:widowControl w:val="0"/>
        <w:kinsoku/>
        <w:wordWrap/>
        <w:overflowPunct/>
        <w:topLinePunct w:val="0"/>
        <w:autoSpaceDE/>
        <w:autoSpaceDN/>
        <w:bidi w:val="0"/>
        <w:adjustRightInd/>
        <w:snapToGrid/>
        <w:spacing w:line="570" w:lineRule="exact"/>
        <w:ind w:firstLine="640" w:firstLineChars="200"/>
        <w:textAlignment w:val="auto"/>
        <w:rPr>
          <w:rFonts w:hint="eastAsia" w:ascii="黑体" w:hAnsi="黑体" w:eastAsia="黑体" w:cs="黑体"/>
          <w:sz w:val="32"/>
          <w:szCs w:val="32"/>
        </w:rPr>
      </w:pPr>
      <w:r>
        <w:rPr>
          <w:rFonts w:hint="eastAsia" w:ascii="黑体" w:hAnsi="黑体" w:eastAsia="黑体" w:cs="黑体"/>
          <w:sz w:val="32"/>
          <w:szCs w:val="32"/>
        </w:rPr>
        <w:t>五、有关要求</w:t>
      </w:r>
    </w:p>
    <w:p w14:paraId="6AFB021F">
      <w:pPr>
        <w:keepNext w:val="0"/>
        <w:keepLines w:val="0"/>
        <w:pageBreakBefore w:val="0"/>
        <w:widowControl w:val="0"/>
        <w:kinsoku/>
        <w:wordWrap/>
        <w:overflowPunct/>
        <w:topLinePunct w:val="0"/>
        <w:autoSpaceDE/>
        <w:autoSpaceDN/>
        <w:bidi w:val="0"/>
        <w:adjustRightInd/>
        <w:snapToGrid/>
        <w:spacing w:line="570" w:lineRule="exact"/>
        <w:ind w:firstLine="643" w:firstLineChars="200"/>
        <w:textAlignment w:val="auto"/>
        <w:rPr>
          <w:rFonts w:hint="eastAsia" w:ascii="楷体_GB2312" w:hAnsi="楷体_GB2312" w:eastAsia="楷体_GB2312" w:cs="楷体_GB2312"/>
          <w:b/>
          <w:bCs/>
          <w:sz w:val="32"/>
          <w:szCs w:val="32"/>
        </w:rPr>
      </w:pPr>
      <w:r>
        <w:rPr>
          <w:rFonts w:hint="eastAsia" w:ascii="楷体_GB2312" w:hAnsi="楷体_GB2312" w:eastAsia="楷体_GB2312" w:cs="楷体_GB2312"/>
          <w:b/>
          <w:bCs/>
          <w:sz w:val="32"/>
          <w:szCs w:val="32"/>
        </w:rPr>
        <w:t>（一）强化统筹协作</w:t>
      </w:r>
    </w:p>
    <w:p w14:paraId="63AAD1B8">
      <w:pPr>
        <w:keepNext w:val="0"/>
        <w:keepLines w:val="0"/>
        <w:pageBreakBefore w:val="0"/>
        <w:widowControl w:val="0"/>
        <w:kinsoku/>
        <w:wordWrap/>
        <w:overflowPunct/>
        <w:topLinePunct w:val="0"/>
        <w:autoSpaceDE/>
        <w:autoSpaceDN/>
        <w:bidi w:val="0"/>
        <w:adjustRightInd/>
        <w:snapToGrid/>
        <w:spacing w:line="57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相关部门要高度重视本次跨部门联合“双随机、一公开”抽查工作，加强统筹协调与沟通配合，严格按照部门职能分工依法履职。对抽查中发现的违法行为，要依法依规严肃查处；执法检查人员要严守工作纪律、廉洁纪律，规范执法行为，确保抽查检查工作有序高效推进。</w:t>
      </w:r>
    </w:p>
    <w:p w14:paraId="59426A0D">
      <w:pPr>
        <w:keepNext w:val="0"/>
        <w:keepLines w:val="0"/>
        <w:pageBreakBefore w:val="0"/>
        <w:widowControl w:val="0"/>
        <w:kinsoku/>
        <w:wordWrap/>
        <w:overflowPunct/>
        <w:topLinePunct w:val="0"/>
        <w:autoSpaceDE/>
        <w:autoSpaceDN/>
        <w:bidi w:val="0"/>
        <w:adjustRightInd/>
        <w:snapToGrid/>
        <w:spacing w:line="570" w:lineRule="exact"/>
        <w:ind w:firstLine="643" w:firstLineChars="200"/>
        <w:textAlignment w:val="auto"/>
        <w:rPr>
          <w:rFonts w:hint="eastAsia" w:ascii="仿宋_GB2312" w:hAnsi="仿宋_GB2312" w:eastAsia="仿宋_GB2312" w:cs="仿宋_GB2312"/>
          <w:sz w:val="32"/>
          <w:szCs w:val="32"/>
        </w:rPr>
      </w:pPr>
      <w:r>
        <w:rPr>
          <w:rFonts w:hint="eastAsia" w:ascii="楷体_GB2312" w:hAnsi="楷体_GB2312" w:eastAsia="楷体_GB2312" w:cs="楷体_GB2312"/>
          <w:b/>
          <w:bCs/>
          <w:sz w:val="32"/>
          <w:szCs w:val="32"/>
        </w:rPr>
        <w:t>（二）严把质量与公示关</w:t>
      </w:r>
    </w:p>
    <w:p w14:paraId="5739F70D">
      <w:pPr>
        <w:keepNext w:val="0"/>
        <w:keepLines w:val="0"/>
        <w:pageBreakBefore w:val="0"/>
        <w:widowControl w:val="0"/>
        <w:kinsoku/>
        <w:wordWrap/>
        <w:overflowPunct/>
        <w:topLinePunct w:val="0"/>
        <w:autoSpaceDE/>
        <w:autoSpaceDN/>
        <w:bidi w:val="0"/>
        <w:adjustRightInd/>
        <w:snapToGrid/>
        <w:spacing w:line="57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区卫生健康和体育局、区市场监督管理局共同负责本次抽查检查工作的组织实施，要精心部署安排，强化业务培训，确保抽查检查的质量和效果。严格落实“谁检查、谁录入、谁负责”原则，在完成抽查检查任务后20个工作日内，将抽查结果及依法应当公示的企业监管信息准确归集于市场主体名下，通过国家企业信用信息公示系统向社会公示。结果公示情况将纳入相关工作考核，未按规定完成结果公示的，视为未完成本次抽查检查任务。</w:t>
      </w:r>
    </w:p>
    <w:p w14:paraId="01D7D54F">
      <w:pPr>
        <w:keepNext w:val="0"/>
        <w:keepLines w:val="0"/>
        <w:pageBreakBefore w:val="0"/>
        <w:widowControl w:val="0"/>
        <w:kinsoku/>
        <w:wordWrap/>
        <w:overflowPunct/>
        <w:topLinePunct w:val="0"/>
        <w:autoSpaceDE/>
        <w:autoSpaceDN/>
        <w:bidi w:val="0"/>
        <w:adjustRightInd/>
        <w:snapToGrid/>
        <w:spacing w:line="570" w:lineRule="exact"/>
        <w:ind w:firstLine="640" w:firstLineChars="200"/>
        <w:textAlignment w:val="auto"/>
        <w:rPr>
          <w:rFonts w:hint="eastAsia" w:ascii="仿宋_GB2312" w:hAnsi="仿宋_GB2312" w:eastAsia="仿宋_GB2312" w:cs="仿宋_GB2312"/>
          <w:sz w:val="32"/>
          <w:szCs w:val="32"/>
        </w:rPr>
      </w:pPr>
    </w:p>
    <w:p w14:paraId="030B7650">
      <w:pPr>
        <w:keepNext w:val="0"/>
        <w:keepLines w:val="0"/>
        <w:pageBreakBefore w:val="0"/>
        <w:widowControl w:val="0"/>
        <w:kinsoku/>
        <w:wordWrap/>
        <w:overflowPunct/>
        <w:topLinePunct w:val="0"/>
        <w:autoSpaceDE/>
        <w:autoSpaceDN/>
        <w:bidi w:val="0"/>
        <w:adjustRightInd/>
        <w:snapToGrid/>
        <w:spacing w:line="570" w:lineRule="exact"/>
        <w:ind w:firstLine="640" w:firstLineChars="200"/>
        <w:textAlignment w:val="auto"/>
        <w:rPr>
          <w:rFonts w:hint="eastAsia" w:ascii="仿宋_GB2312" w:hAnsi="仿宋_GB2312" w:eastAsia="仿宋_GB2312" w:cs="仿宋_GB2312"/>
          <w:sz w:val="32"/>
          <w:szCs w:val="32"/>
        </w:rPr>
      </w:pPr>
    </w:p>
    <w:p w14:paraId="6835EA33">
      <w:pPr>
        <w:keepNext w:val="0"/>
        <w:keepLines w:val="0"/>
        <w:pageBreakBefore w:val="0"/>
        <w:widowControl w:val="0"/>
        <w:kinsoku/>
        <w:wordWrap/>
        <w:overflowPunct/>
        <w:topLinePunct w:val="0"/>
        <w:autoSpaceDE/>
        <w:autoSpaceDN/>
        <w:bidi w:val="0"/>
        <w:adjustRightInd/>
        <w:snapToGrid/>
        <w:spacing w:line="570" w:lineRule="exact"/>
        <w:ind w:firstLine="640" w:firstLineChars="200"/>
        <w:textAlignment w:val="auto"/>
        <w:rPr>
          <w:rFonts w:hint="eastAsia" w:ascii="仿宋_GB2312" w:hAnsi="仿宋_GB2312" w:eastAsia="仿宋_GB2312" w:cs="仿宋_GB2312"/>
          <w:sz w:val="32"/>
          <w:szCs w:val="32"/>
        </w:rPr>
      </w:pPr>
    </w:p>
    <w:p w14:paraId="49BF0F3D">
      <w:pPr>
        <w:keepNext w:val="0"/>
        <w:keepLines w:val="0"/>
        <w:pageBreakBefore w:val="0"/>
        <w:widowControl w:val="0"/>
        <w:kinsoku/>
        <w:wordWrap/>
        <w:overflowPunct/>
        <w:topLinePunct w:val="0"/>
        <w:autoSpaceDE/>
        <w:autoSpaceDN/>
        <w:bidi w:val="0"/>
        <w:adjustRightInd/>
        <w:snapToGrid/>
        <w:spacing w:line="570" w:lineRule="exact"/>
        <w:ind w:left="5768" w:leftChars="304" w:hanging="5130" w:hangingChars="1900"/>
        <w:textAlignment w:val="auto"/>
        <w:rPr>
          <w:rFonts w:hint="eastAsia" w:ascii="仿宋_GB2312" w:hAnsi="仿宋_GB2312" w:eastAsia="仿宋_GB2312" w:cs="仿宋_GB2312"/>
          <w:spacing w:val="-17"/>
          <w:w w:val="95"/>
          <w:sz w:val="32"/>
          <w:szCs w:val="32"/>
        </w:rPr>
      </w:pPr>
    </w:p>
    <w:p w14:paraId="2B95ECDE">
      <w:pPr>
        <w:keepNext w:val="0"/>
        <w:keepLines w:val="0"/>
        <w:pageBreakBefore w:val="0"/>
        <w:widowControl w:val="0"/>
        <w:kinsoku/>
        <w:wordWrap/>
        <w:overflowPunct/>
        <w:topLinePunct w:val="0"/>
        <w:autoSpaceDE/>
        <w:autoSpaceDN/>
        <w:bidi w:val="0"/>
        <w:adjustRightInd/>
        <w:snapToGrid/>
        <w:spacing w:line="570" w:lineRule="exact"/>
        <w:ind w:left="5768" w:leftChars="304" w:hanging="5130" w:hangingChars="1900"/>
        <w:textAlignment w:val="auto"/>
        <w:rPr>
          <w:rFonts w:hint="eastAsia" w:ascii="仿宋_GB2312" w:hAnsi="仿宋_GB2312" w:eastAsia="仿宋_GB2312" w:cs="仿宋_GB2312"/>
          <w:spacing w:val="-17"/>
          <w:w w:val="95"/>
          <w:sz w:val="32"/>
          <w:szCs w:val="32"/>
        </w:rPr>
      </w:pPr>
      <w:r>
        <w:rPr>
          <w:rFonts w:hint="eastAsia" w:ascii="仿宋_GB2312" w:hAnsi="仿宋_GB2312" w:eastAsia="仿宋_GB2312" w:cs="仿宋_GB2312"/>
          <w:spacing w:val="-17"/>
          <w:w w:val="95"/>
          <w:sz w:val="32"/>
          <w:szCs w:val="32"/>
        </w:rPr>
        <w:t xml:space="preserve">长治市上党区卫生健康和体育局 </w:t>
      </w:r>
      <w:r>
        <w:rPr>
          <w:rFonts w:hint="eastAsia" w:ascii="仿宋_GB2312" w:hAnsi="仿宋_GB2312" w:eastAsia="仿宋_GB2312" w:cs="仿宋_GB2312"/>
          <w:spacing w:val="-17"/>
          <w:w w:val="95"/>
          <w:sz w:val="32"/>
          <w:szCs w:val="32"/>
          <w:lang w:val="en-US" w:eastAsia="zh-CN"/>
        </w:rPr>
        <w:t xml:space="preserve"> </w:t>
      </w:r>
      <w:r>
        <w:rPr>
          <w:rFonts w:hint="eastAsia" w:ascii="仿宋_GB2312" w:hAnsi="仿宋_GB2312" w:eastAsia="仿宋_GB2312" w:cs="仿宋_GB2312"/>
          <w:spacing w:val="-17"/>
          <w:w w:val="95"/>
          <w:sz w:val="32"/>
          <w:szCs w:val="32"/>
        </w:rPr>
        <w:t>长治市上党区市场监督管理局</w:t>
      </w:r>
    </w:p>
    <w:p w14:paraId="6BD8605E">
      <w:pPr>
        <w:keepNext w:val="0"/>
        <w:keepLines w:val="0"/>
        <w:pageBreakBefore w:val="0"/>
        <w:widowControl w:val="0"/>
        <w:kinsoku/>
        <w:wordWrap/>
        <w:overflowPunct/>
        <w:topLinePunct w:val="0"/>
        <w:autoSpaceDE/>
        <w:autoSpaceDN/>
        <w:bidi w:val="0"/>
        <w:adjustRightInd/>
        <w:snapToGrid/>
        <w:spacing w:line="570" w:lineRule="exact"/>
        <w:ind w:left="5768" w:leftChars="304" w:hanging="5130" w:hangingChars="1900"/>
        <w:textAlignment w:val="auto"/>
        <w:rPr>
          <w:rFonts w:hint="eastAsia" w:ascii="仿宋_GB2312" w:hAnsi="仿宋_GB2312" w:eastAsia="仿宋_GB2312" w:cs="仿宋_GB2312"/>
          <w:spacing w:val="-17"/>
          <w:w w:val="95"/>
          <w:sz w:val="32"/>
          <w:szCs w:val="32"/>
        </w:rPr>
      </w:pPr>
    </w:p>
    <w:p w14:paraId="61BB1B2E">
      <w:pPr>
        <w:keepNext w:val="0"/>
        <w:keepLines w:val="0"/>
        <w:pageBreakBefore w:val="0"/>
        <w:widowControl w:val="0"/>
        <w:kinsoku/>
        <w:wordWrap/>
        <w:overflowPunct/>
        <w:topLinePunct w:val="0"/>
        <w:autoSpaceDE/>
        <w:autoSpaceDN/>
        <w:bidi w:val="0"/>
        <w:adjustRightInd/>
        <w:snapToGrid/>
        <w:spacing w:line="570" w:lineRule="exact"/>
        <w:ind w:left="6706" w:leftChars="2584" w:hanging="1280" w:hangingChars="4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2026年</w:t>
      </w: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rPr>
        <w:t>月</w:t>
      </w:r>
      <w:r>
        <w:rPr>
          <w:rFonts w:hint="eastAsia" w:ascii="仿宋_GB2312" w:hAnsi="仿宋_GB2312" w:eastAsia="仿宋_GB2312" w:cs="仿宋_GB2312"/>
          <w:sz w:val="32"/>
          <w:szCs w:val="32"/>
          <w:lang w:val="en-US" w:eastAsia="zh-CN"/>
        </w:rPr>
        <w:t>11</w:t>
      </w:r>
      <w:r>
        <w:rPr>
          <w:rFonts w:hint="eastAsia" w:ascii="仿宋_GB2312" w:hAnsi="仿宋_GB2312" w:eastAsia="仿宋_GB2312" w:cs="仿宋_GB2312"/>
          <w:sz w:val="32"/>
          <w:szCs w:val="32"/>
        </w:rPr>
        <w:t>日</w:t>
      </w:r>
      <w:bookmarkStart w:id="0" w:name="_GoBack"/>
      <w:bookmarkEnd w:id="0"/>
    </w:p>
    <w:sectPr>
      <w:headerReference r:id="rId3" w:type="default"/>
      <w:footerReference r:id="rId4" w:type="default"/>
      <w:pgSz w:w="11900" w:h="16820"/>
      <w:pgMar w:top="1701" w:right="1531" w:bottom="1701" w:left="1531" w:header="1120" w:footer="112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等线">
    <w:altName w:val="Arial Unicode MS"/>
    <w:panose1 w:val="00000000000000000000"/>
    <w:charset w:val="00"/>
    <w:family w:val="auto"/>
    <w:pitch w:val="default"/>
    <w:sig w:usb0="00000000" w:usb1="00000000" w:usb2="00000000" w:usb3="00000000" w:csb0="00000000" w:csb1="00000000"/>
  </w:font>
  <w:font w:name="Arial Unicode MS">
    <w:panose1 w:val="020B0604020202020204"/>
    <w:charset w:val="86"/>
    <w:family w:val="auto"/>
    <w:pitch w:val="default"/>
    <w:sig w:usb0="FFFFFFFF" w:usb1="E9FFFFFF" w:usb2="0000003F" w:usb3="00000000" w:csb0="603F01FF" w:csb1="FFFF0000"/>
  </w:font>
  <w:font w:name="仿宋_GB2312">
    <w:panose1 w:val="02010609030101010101"/>
    <w:charset w:val="86"/>
    <w:family w:val="auto"/>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 w:name="方正小标宋_GBK">
    <w:altName w:val="微软雅黑"/>
    <w:panose1 w:val="03000509000000000000"/>
    <w:charset w:val="86"/>
    <w:family w:val="script"/>
    <w:pitch w:val="default"/>
    <w:sig w:usb0="00000000" w:usb1="00000000" w:usb2="00000010" w:usb3="00000000" w:csb0="00040000" w:csb1="00000000"/>
  </w:font>
  <w:font w:name="微软雅黑">
    <w:panose1 w:val="020B0503020204020204"/>
    <w:charset w:val="86"/>
    <w:family w:val="auto"/>
    <w:pitch w:val="default"/>
    <w:sig w:usb0="80000287" w:usb1="280F3C52" w:usb2="00000016" w:usb3="00000000" w:csb0="0004001F" w:csb1="00000000"/>
  </w:font>
  <w:font w:name="楷体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C8FBEC"/>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F49C539"/>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compat>
    <w:ulTrailSpace/>
    <w:useFELayout/>
    <w:compatSetting w:name="compatibilityMode" w:uri="http://schemas.microsoft.com/office/word" w:val="15"/>
  </w:compat>
  <w:rsids>
    <w:rsidRoot w:val="00000000"/>
    <w:rsid w:val="17B6418E"/>
    <w:rsid w:val="22E04EF3"/>
    <w:rsid w:val="41AF4567"/>
    <w:rsid w:val="5E1617A1"/>
    <w:rsid w:val="7332750A"/>
    <w:rsid w:val="7E8C4CE2"/>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sz w:val="21"/>
      <w:szCs w:val="22"/>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5</Pages>
  <Words>1757</Words>
  <Characters>1820</Characters>
  <TotalTime>8</TotalTime>
  <ScaleCrop>false</ScaleCrop>
  <LinksUpToDate>false</LinksUpToDate>
  <CharactersWithSpaces>1867</CharactersWithSpaces>
  <Application>WPS Office_12.1.0.26895_F1E327BC-269C-435d-A152-05C5408002CA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2026-01-28T09:13:00Z</dcterms:created>
  <dc:creator>Apache POI</dc:creator>
  <cp:lastModifiedBy>上党区卫生健康和体育局</cp:lastModifiedBy>
  <cp:lastPrinted>2026-06-12T01:40:14Z</cp:lastPrinted>
  <dcterms:modified xsi:type="dcterms:W3CDTF">2026-06-12T01:45:20Z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eyJoZGlkIjoiMWEwOWVkYTQ0MzQ2NmE5NjNjZDQ1YmUzN2Y5Njc4YzUiLCJ1c2VySWQiOiIzNzI4Mjk3NjgifQ==</vt:lpwstr>
  </property>
  <property fmtid="{D5CDD505-2E9C-101B-9397-08002B2CF9AE}" pid="3" name="KSOProductBuildVer">
    <vt:lpwstr>2052-12.1.0.26895</vt:lpwstr>
  </property>
  <property fmtid="{D5CDD505-2E9C-101B-9397-08002B2CF9AE}" pid="4" name="ICV">
    <vt:lpwstr>597CBC71CB654F9D8950064203F951F4_12</vt:lpwstr>
  </property>
</Properties>
</file>