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63B36A">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方正小标宋简体" w:hAnsi="方正小标宋简体" w:eastAsia="方正小标宋简体" w:cs="方正小标宋简体"/>
          <w:b/>
          <w:bCs w:val="0"/>
          <w:spacing w:val="0"/>
          <w:kern w:val="16"/>
          <w:sz w:val="44"/>
          <w:szCs w:val="44"/>
        </w:rPr>
      </w:pPr>
    </w:p>
    <w:p w14:paraId="483D2FFC">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方正小标宋简体" w:hAnsi="方正小标宋简体" w:eastAsia="方正小标宋简体" w:cs="方正小标宋简体"/>
          <w:b/>
          <w:bCs w:val="0"/>
          <w:spacing w:val="0"/>
          <w:kern w:val="16"/>
          <w:sz w:val="44"/>
          <w:szCs w:val="44"/>
        </w:rPr>
      </w:pPr>
    </w:p>
    <w:p w14:paraId="1495ECE4">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方正小标宋简体" w:hAnsi="方正小标宋简体" w:eastAsia="方正小标宋简体" w:cs="方正小标宋简体"/>
          <w:b/>
          <w:bCs w:val="0"/>
          <w:spacing w:val="0"/>
          <w:kern w:val="16"/>
          <w:sz w:val="44"/>
          <w:szCs w:val="44"/>
        </w:rPr>
      </w:pPr>
    </w:p>
    <w:p w14:paraId="2681F08A">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方正小标宋简体" w:hAnsi="方正小标宋简体" w:eastAsia="方正小标宋简体" w:cs="方正小标宋简体"/>
          <w:b/>
          <w:bCs w:val="0"/>
          <w:spacing w:val="0"/>
          <w:kern w:val="16"/>
          <w:sz w:val="44"/>
          <w:szCs w:val="44"/>
        </w:rPr>
      </w:pPr>
    </w:p>
    <w:p w14:paraId="21DEF8AD">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方正小标宋简体" w:hAnsi="方正小标宋简体" w:eastAsia="方正小标宋简体" w:cs="方正小标宋简体"/>
          <w:b/>
          <w:bCs w:val="0"/>
          <w:spacing w:val="0"/>
          <w:kern w:val="16"/>
          <w:sz w:val="44"/>
          <w:szCs w:val="44"/>
        </w:rPr>
      </w:pPr>
    </w:p>
    <w:p w14:paraId="44CDB7F2">
      <w:pPr>
        <w:keepNext w:val="0"/>
        <w:keepLines w:val="0"/>
        <w:pageBreakBefore w:val="0"/>
        <w:widowControl w:val="0"/>
        <w:kinsoku/>
        <w:wordWrap/>
        <w:overflowPunct/>
        <w:topLinePunct w:val="0"/>
        <w:autoSpaceDE w:val="0"/>
        <w:autoSpaceDN w:val="0"/>
        <w:bidi w:val="0"/>
        <w:adjustRightInd w:val="0"/>
        <w:snapToGrid/>
        <w:spacing w:line="900" w:lineRule="exact"/>
        <w:ind w:leftChars="0"/>
        <w:jc w:val="both"/>
        <w:textAlignment w:val="auto"/>
        <w:rPr>
          <w:rFonts w:hint="eastAsia" w:ascii="仿宋_GB2312" w:hAnsi="仿宋_GB2312" w:eastAsia="仿宋_GB2312" w:cs="仿宋_GB2312"/>
          <w:b w:val="0"/>
          <w:bCs/>
          <w:color w:val="000000"/>
          <w:sz w:val="32"/>
          <w:szCs w:val="32"/>
        </w:rPr>
      </w:pPr>
      <w:bookmarkStart w:id="0" w:name="_GoBack"/>
      <w:bookmarkEnd w:id="0"/>
    </w:p>
    <w:p w14:paraId="50590BB3">
      <w:pPr>
        <w:keepNext w:val="0"/>
        <w:keepLines w:val="0"/>
        <w:pageBreakBefore w:val="0"/>
        <w:widowControl w:val="0"/>
        <w:kinsoku/>
        <w:wordWrap/>
        <w:overflowPunct/>
        <w:topLinePunct w:val="0"/>
        <w:autoSpaceDE w:val="0"/>
        <w:autoSpaceDN w:val="0"/>
        <w:bidi w:val="0"/>
        <w:adjustRightInd w:val="0"/>
        <w:spacing w:line="580" w:lineRule="exact"/>
        <w:ind w:leftChars="0"/>
        <w:jc w:val="center"/>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长上卫字〔2026〕</w:t>
      </w:r>
      <w:r>
        <w:rPr>
          <w:rFonts w:hint="eastAsia" w:ascii="仿宋_GB2312" w:hAnsi="仿宋_GB2312" w:cs="仿宋_GB2312"/>
          <w:b w:val="0"/>
          <w:bCs/>
          <w:color w:val="000000"/>
          <w:sz w:val="32"/>
          <w:szCs w:val="32"/>
          <w:lang w:val="en-US" w:eastAsia="zh-CN"/>
        </w:rPr>
        <w:t>7</w:t>
      </w:r>
      <w:r>
        <w:rPr>
          <w:rFonts w:hint="eastAsia" w:ascii="仿宋_GB2312" w:hAnsi="仿宋_GB2312" w:eastAsia="仿宋_GB2312" w:cs="仿宋_GB2312"/>
          <w:b w:val="0"/>
          <w:bCs/>
          <w:color w:val="000000"/>
          <w:sz w:val="32"/>
          <w:szCs w:val="32"/>
          <w:lang w:val="en-US" w:eastAsia="zh-CN"/>
        </w:rPr>
        <w:t>号</w:t>
      </w:r>
    </w:p>
    <w:p w14:paraId="32257ECF">
      <w:pPr>
        <w:keepNext w:val="0"/>
        <w:keepLines w:val="0"/>
        <w:pageBreakBefore w:val="0"/>
        <w:widowControl w:val="0"/>
        <w:kinsoku/>
        <w:wordWrap/>
        <w:overflowPunct/>
        <w:topLinePunct w:val="0"/>
        <w:autoSpaceDE w:val="0"/>
        <w:autoSpaceDN w:val="0"/>
        <w:bidi w:val="0"/>
        <w:adjustRightInd w:val="0"/>
        <w:snapToGrid/>
        <w:spacing w:line="600" w:lineRule="exact"/>
        <w:ind w:leftChars="0"/>
        <w:jc w:val="both"/>
        <w:textAlignment w:val="auto"/>
        <w:rPr>
          <w:rFonts w:hint="eastAsia" w:ascii="仿宋_GB2312" w:hAnsi="仿宋_GB2312" w:eastAsia="仿宋_GB2312" w:cs="仿宋_GB2312"/>
          <w:b w:val="0"/>
          <w:bCs/>
          <w:color w:val="000000"/>
          <w:sz w:val="32"/>
          <w:szCs w:val="32"/>
        </w:rPr>
      </w:pPr>
    </w:p>
    <w:p w14:paraId="5AEA3B7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长治市上党区卫生健康和体育局</w:t>
      </w:r>
    </w:p>
    <w:p w14:paraId="18DCBB52">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关于做好网络餐饮食品安全问题的实施办法</w:t>
      </w:r>
    </w:p>
    <w:p w14:paraId="740F689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sz w:val="44"/>
          <w:szCs w:val="44"/>
          <w:lang w:val="en-US" w:eastAsia="zh-CN"/>
        </w:rPr>
      </w:pPr>
    </w:p>
    <w:p w14:paraId="0D56F56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总体目标</w:t>
      </w:r>
    </w:p>
    <w:p w14:paraId="0A7771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以习近平新时代中国特色社会主义思想为指导，顺应群众对网络餐饮食品卫生健康营养的新要求新期待，紧盯责任落实、卫生健康等关键环节，加强监督指导，规范网络餐饮服务行为，预防食品安全事故，密切配合市场监管局等有关部门，守牢外卖食品安全底线，切实保障网络餐饮食品安全与公众健康。</w:t>
      </w:r>
    </w:p>
    <w:p w14:paraId="1F14EBA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成立领导小组</w:t>
      </w:r>
    </w:p>
    <w:p w14:paraId="6301EC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结合工作实际，特成立上党区卫体局网络餐饮食品安全病媒生物防制指导工作领导小组。</w:t>
      </w:r>
    </w:p>
    <w:p w14:paraId="7BA885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    长：李  刚  卫体局局长</w:t>
      </w:r>
    </w:p>
    <w:p w14:paraId="7B29D4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副 组 长：高  飞  卫体局副局长</w:t>
      </w:r>
    </w:p>
    <w:p w14:paraId="4E7980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240" w:firstLineChars="7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王振红  卫体局党委委员、疾控中心主任</w:t>
      </w:r>
    </w:p>
    <w:p w14:paraId="5576FA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    员：韩丕立  卫体局宣教科科长</w:t>
      </w:r>
    </w:p>
    <w:p w14:paraId="45861D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240" w:firstLineChars="7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屈亚如  卫体局疾控科科员</w:t>
      </w:r>
    </w:p>
    <w:p w14:paraId="75886910">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2240" w:firstLineChars="7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万森璐  卫体局应急科科长</w:t>
      </w:r>
    </w:p>
    <w:p w14:paraId="6DB4E3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240" w:firstLineChars="7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程国亮  卫生健康保障中心主任</w:t>
      </w:r>
    </w:p>
    <w:p w14:paraId="4CA995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240" w:firstLineChars="7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邓旭慧  区疾控中心消杀科科长</w:t>
      </w:r>
    </w:p>
    <w:p w14:paraId="320BEC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主要职责：贯彻落实区委、区政府关于网络餐饮食品安全指导工作的重大决策部署；督促任务落实，研究解决突出问题，配合有关部门统筹推进网络餐饮食品安全指导工作。</w:t>
      </w:r>
    </w:p>
    <w:p w14:paraId="3AC2A7B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具体办法</w:t>
      </w:r>
    </w:p>
    <w:p w14:paraId="4B45DB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lang w:val="en-US" w:eastAsia="zh-CN"/>
        </w:rPr>
        <w:t>强化病媒生物防制。区卫生健康保障中心、疾控中心要对全区网络餐饮经营单位开展针对性的病媒生物防制宣传指导，进店普及“除四害”知识；指导防鼠网、纱窗、灭蝇灯等设施设备的安装，在重点区域设置毒鼠饵站（远离食品加工区）；指导督促对厨房及周边环境开展病媒生物孳生地排查，清除垃圾堆积、积水等隐患，并积极配合市场监管局开展监督检查。</w:t>
      </w:r>
      <w:r>
        <w:rPr>
          <w:rFonts w:hint="eastAsia" w:ascii="仿宋_GB2312" w:hAnsi="仿宋_GB2312" w:eastAsia="仿宋_GB2312" w:cs="仿宋_GB2312"/>
          <w:b/>
          <w:bCs/>
          <w:sz w:val="32"/>
          <w:szCs w:val="32"/>
          <w:lang w:val="en-US" w:eastAsia="zh-CN"/>
        </w:rPr>
        <w:t>（责任科室：卫生健康保障中心、疾控中心）</w:t>
      </w:r>
    </w:p>
    <w:p w14:paraId="3D896D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lang w:val="en-US" w:eastAsia="zh-CN"/>
        </w:rPr>
        <w:t>开展营养健康教育宣传。宣教科、卫生健康保障中心要通过宣传版面、在融媒体开设专栏、街头宣传等形式，积极开展针对不同人群、不同年龄层次的营养健康教育宣传，普及食品卫生健康知识；联合区市场监管局对外卖厨房管理人员、从业人员进行食品卫生及膳食营养等健康教育培训指导，提高从业人员膳食搭配能力。</w:t>
      </w:r>
      <w:r>
        <w:rPr>
          <w:rFonts w:hint="eastAsia" w:ascii="仿宋_GB2312" w:hAnsi="仿宋_GB2312" w:eastAsia="仿宋_GB2312" w:cs="仿宋_GB2312"/>
          <w:b/>
          <w:bCs/>
          <w:sz w:val="32"/>
          <w:szCs w:val="32"/>
          <w:lang w:val="en-US" w:eastAsia="zh-CN"/>
        </w:rPr>
        <w:t>（责任科室：宣教科、疾控科、卫生健康保障中心）</w:t>
      </w:r>
    </w:p>
    <w:p w14:paraId="7F0838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lang w:val="en-US" w:eastAsia="zh-CN"/>
        </w:rPr>
        <w:t>做好网络餐饮食品安全网络舆情监测相关工作。区网络安全中心、市场监管局、卫体局联合开展外卖食品卫生健康的舆情监测，积极配合市场监管部门，对群众反映卫生环境、病媒生物等问题突出的，开展监督检查，指导做好相关工作，督促整改落实。</w:t>
      </w:r>
      <w:r>
        <w:rPr>
          <w:rFonts w:hint="eastAsia" w:ascii="仿宋_GB2312" w:hAnsi="仿宋_GB2312" w:eastAsia="仿宋_GB2312" w:cs="仿宋_GB2312"/>
          <w:b/>
          <w:bCs/>
          <w:sz w:val="32"/>
          <w:szCs w:val="32"/>
          <w:lang w:val="en-US" w:eastAsia="zh-CN"/>
        </w:rPr>
        <w:t>（责任科室：卫生健康保障中心、疾控中心）</w:t>
      </w:r>
    </w:p>
    <w:p w14:paraId="38E6DA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lang w:val="en-US" w:eastAsia="zh-CN"/>
        </w:rPr>
        <w:t>做好突发食物中毒事件应急处置。疾控科、疾控中心要强化风险监测，指导外卖餐饮经营单位制定食物中毒应急预案，明确报告流程、隔离措施及医疗救治路径；疑似事件发生后，疾控科要根据突发食物中毒处置应急预案及食源性疾病防治要求，快速响应，区疾控中心要第一时间赶赴现场，开展流行病学调查、样本采集及溯源分析；及时向市场监管局通报事件进展，并适时通过区融媒体中心等渠道发布警示信息；应急科要规范突发食物中毒事件救治流程，组织组建应急救治队伍，全力保障突发食物中毒事件救治工作。</w:t>
      </w:r>
      <w:r>
        <w:rPr>
          <w:rFonts w:hint="eastAsia" w:ascii="仿宋_GB2312" w:hAnsi="仿宋_GB2312" w:eastAsia="仿宋_GB2312" w:cs="仿宋_GB2312"/>
          <w:b/>
          <w:bCs/>
          <w:sz w:val="32"/>
          <w:szCs w:val="32"/>
          <w:lang w:val="en-US" w:eastAsia="zh-CN"/>
        </w:rPr>
        <w:t>（责任科室：疾控科、应急科、疾控中心）</w:t>
      </w:r>
    </w:p>
    <w:p w14:paraId="463A43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kern w:val="2"/>
          <w:sz w:val="32"/>
          <w:szCs w:val="32"/>
          <w:lang w:val="en-US" w:eastAsia="zh-CN" w:bidi="ar-SA"/>
        </w:rPr>
        <w:t>5.</w:t>
      </w:r>
      <w:r>
        <w:rPr>
          <w:rFonts w:hint="eastAsia" w:ascii="仿宋_GB2312" w:hAnsi="仿宋_GB2312" w:eastAsia="仿宋_GB2312" w:cs="仿宋_GB2312"/>
          <w:b w:val="0"/>
          <w:bCs w:val="0"/>
          <w:sz w:val="32"/>
          <w:szCs w:val="32"/>
          <w:lang w:val="en-US" w:eastAsia="zh-CN"/>
        </w:rPr>
        <w:t>开展食品安全风险监测和食源性疾病风险监测。根据省、市卫健委等部门年度工作目标和要求，及时制定我区工作方案，在监测中发现食源性疾病和其他食品安全隐患，及时通报市场和质量监管部门，疾控中心要做好监测工作的质量控制，按时上报监测数据。监测人员在市场监管部门的配合下，做好采集样品和收集相关信息等工作。</w:t>
      </w:r>
      <w:r>
        <w:rPr>
          <w:rFonts w:hint="eastAsia" w:ascii="仿宋_GB2312" w:hAnsi="仿宋_GB2312" w:eastAsia="仿宋_GB2312" w:cs="仿宋_GB2312"/>
          <w:b/>
          <w:bCs/>
          <w:sz w:val="32"/>
          <w:szCs w:val="32"/>
          <w:lang w:val="en-US" w:eastAsia="zh-CN"/>
        </w:rPr>
        <w:t>（责任科室：疾控科、疾控中心）</w:t>
      </w:r>
    </w:p>
    <w:p w14:paraId="1E9104E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组织保障</w:t>
      </w:r>
    </w:p>
    <w:p w14:paraId="2E41B9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lang w:val="en-US" w:eastAsia="zh-CN"/>
        </w:rPr>
        <w:t>提高政治站位。要充分认识开展全区网络餐饮食品安全工作的重要性和必要性，坚持以人民为中心，牢固树立食品安全无小事的理念，抗牢政治责任，履职尽责。</w:t>
      </w:r>
    </w:p>
    <w:p w14:paraId="20F53A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lang w:val="en-US" w:eastAsia="zh-CN"/>
        </w:rPr>
        <w:t>强化组织领导。各相关单位、科室要根据职责分工，密切协作配合，定期汇报协商研究外卖食品安全工作中的重大问题，健全清单台账，全力推动相关工作。</w:t>
      </w:r>
    </w:p>
    <w:p w14:paraId="698F91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lang w:val="en-US" w:eastAsia="zh-CN"/>
        </w:rPr>
        <w:t>确保落地见效。结合卫体工作实际，加强工作调度和推进力度，与市场等部门协同联动，开展联合检查，及时通报监督检查情况、移交问题线索，强化协作机制，确保网络餐饮食品安全。</w:t>
      </w:r>
    </w:p>
    <w:p w14:paraId="3BC730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07CC6A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64E5F9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1427E0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160" w:firstLineChars="13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长治市上党区卫生健康和体育局</w:t>
      </w:r>
    </w:p>
    <w:p w14:paraId="616D00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120" w:firstLineChars="16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2026年3月11号</w:t>
      </w:r>
    </w:p>
    <w:sectPr>
      <w:pgSz w:w="11906" w:h="16838"/>
      <w:pgMar w:top="1701"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90796F"/>
    <w:multiLevelType w:val="singleLevel"/>
    <w:tmpl w:val="4090796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625F2C"/>
    <w:rsid w:val="0069744B"/>
    <w:rsid w:val="05B366B7"/>
    <w:rsid w:val="0A7D3688"/>
    <w:rsid w:val="112D3FE3"/>
    <w:rsid w:val="153876C0"/>
    <w:rsid w:val="20EB1A8B"/>
    <w:rsid w:val="230B1271"/>
    <w:rsid w:val="274A5031"/>
    <w:rsid w:val="28C253C3"/>
    <w:rsid w:val="30781E1F"/>
    <w:rsid w:val="323439D8"/>
    <w:rsid w:val="3B385190"/>
    <w:rsid w:val="3BCA7B31"/>
    <w:rsid w:val="3C2459F9"/>
    <w:rsid w:val="3C7C059F"/>
    <w:rsid w:val="3FB37705"/>
    <w:rsid w:val="434370AD"/>
    <w:rsid w:val="4508410A"/>
    <w:rsid w:val="4D1E24BA"/>
    <w:rsid w:val="58485483"/>
    <w:rsid w:val="58770D69"/>
    <w:rsid w:val="58C46142"/>
    <w:rsid w:val="5B625F2C"/>
    <w:rsid w:val="67694A84"/>
    <w:rsid w:val="6BFB02A3"/>
    <w:rsid w:val="6DA36DBD"/>
    <w:rsid w:val="6DDE3A65"/>
    <w:rsid w:val="6E3E606D"/>
    <w:rsid w:val="70194B6E"/>
    <w:rsid w:val="75C16B89"/>
    <w:rsid w:val="76595CC4"/>
    <w:rsid w:val="77843214"/>
    <w:rsid w:val="778FC205"/>
    <w:rsid w:val="78B47B29"/>
    <w:rsid w:val="794E3ADA"/>
    <w:rsid w:val="7B6E0E0E"/>
    <w:rsid w:val="7CCA03FD"/>
    <w:rsid w:val="7EED5B43"/>
    <w:rsid w:val="7FFDFF30"/>
    <w:rsid w:val="BFF39756"/>
    <w:rsid w:val="DEEE7F11"/>
    <w:rsid w:val="FFDFB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1540</Words>
  <Characters>1552</Characters>
  <Lines>0</Lines>
  <Paragraphs>0</Paragraphs>
  <TotalTime>0</TotalTime>
  <ScaleCrop>false</ScaleCrop>
  <LinksUpToDate>false</LinksUpToDate>
  <CharactersWithSpaces>1582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2025-03-09T21:49:00Z</dcterms:created>
  <dc:creator>小张</dc:creator>
  <cp:lastModifiedBy>上党区卫生健康和体育局</cp:lastModifiedBy>
  <cp:lastPrinted>2026-03-13T02:01:00Z</cp:lastPrinted>
  <dcterms:modified xsi:type="dcterms:W3CDTF">2026-03-20T08:45:47Z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B9BE1CC42AA818E8741EB2690B9275F8_43</vt:lpwstr>
  </property>
  <property fmtid="{D5CDD505-2E9C-101B-9397-08002B2CF9AE}" pid="4" name="KSOTemplateDocerSaveRecord">
    <vt:lpwstr>eyJoZGlkIjoiMWEwOWVkYTQ0MzQ2NmE5NjNjZDQ1YmUzN2Y5Njc4YzUiLCJ1c2VySWQiOiIzNzI4Mjk3NjgifQ==</vt:lpwstr>
  </property>
</Properties>
</file>