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97F5F">
      <w:pPr>
        <w:spacing w:line="500" w:lineRule="exact"/>
        <w:rPr>
          <w:rFonts w:hint="eastAsia" w:ascii="仿宋_GB2312" w:hAnsi="宋体" w:eastAsia="仿宋_GB2312"/>
          <w:sz w:val="32"/>
          <w:szCs w:val="48"/>
        </w:rPr>
      </w:pPr>
    </w:p>
    <w:p w14:paraId="751C7EAF">
      <w:pPr>
        <w:spacing w:line="500" w:lineRule="exact"/>
        <w:rPr>
          <w:rFonts w:hint="eastAsia" w:ascii="仿宋_GB2312" w:hAnsi="宋体" w:eastAsia="仿宋_GB2312"/>
          <w:sz w:val="32"/>
          <w:szCs w:val="48"/>
        </w:rPr>
      </w:pPr>
      <w:r>
        <w:rPr>
          <w:rFonts w:hint="eastAsia" w:ascii="仿宋_GB2312" w:hAnsi="宋体" w:eastAsia="仿宋_GB2312"/>
          <w:sz w:val="32"/>
          <w:szCs w:val="4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71120</wp:posOffset>
                </wp:positionV>
                <wp:extent cx="4905375" cy="17481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905375" cy="1748155"/>
                        </a:xfrm>
                        <a:prstGeom prst="rect">
                          <a:avLst/>
                        </a:prstGeom>
                        <a:noFill/>
                        <a:ln w="15875">
                          <a:noFill/>
                        </a:ln>
                      </wps:spPr>
                      <wps:txbx>
                        <w:txbxContent>
                          <w:p w14:paraId="29F0FC33">
                            <w:pPr>
                              <w:jc w:val="distribute"/>
                              <w:rPr>
                                <w:rFonts w:hint="eastAsia" w:ascii="方正小标宋简体" w:hAnsi="方正小标宋简体" w:eastAsia="方正小标宋简体" w:cs="方正小标宋简体"/>
                                <w:color w:val="FF0000"/>
                                <w:spacing w:val="-16"/>
                                <w:w w:val="80"/>
                                <w:sz w:val="18"/>
                                <w:szCs w:val="18"/>
                              </w:rPr>
                            </w:pPr>
                            <w:r>
                              <w:rPr>
                                <w:rFonts w:hint="eastAsia" w:ascii="方正小标宋简体" w:hAnsi="方正小标宋简体" w:eastAsia="方正小标宋简体" w:cs="方正小标宋简体"/>
                                <w:color w:val="FF0000"/>
                                <w:spacing w:val="-16"/>
                                <w:w w:val="66"/>
                                <w:sz w:val="80"/>
                                <w:szCs w:val="80"/>
                              </w:rPr>
                              <w:t>长治市上党区卫生健康和体育局</w:t>
                            </w:r>
                          </w:p>
                          <w:p w14:paraId="3366C112">
                            <w:pPr>
                              <w:jc w:val="distribute"/>
                              <w:rPr>
                                <w:rFonts w:hint="eastAsia" w:ascii="方正小标宋简体" w:hAnsi="方正小标宋简体" w:eastAsia="方正小标宋简体" w:cs="方正小标宋简体"/>
                                <w:color w:val="FF0000"/>
                                <w:spacing w:val="-16"/>
                                <w:w w:val="80"/>
                                <w:sz w:val="18"/>
                                <w:szCs w:val="18"/>
                                <w:lang w:eastAsia="zh-CN"/>
                              </w:rPr>
                            </w:pPr>
                            <w:r>
                              <w:rPr>
                                <w:rFonts w:hint="eastAsia" w:ascii="方正小标宋简体" w:hAnsi="方正小标宋简体" w:eastAsia="方正小标宋简体" w:cs="方正小标宋简体"/>
                                <w:color w:val="FF0000"/>
                                <w:spacing w:val="-16"/>
                                <w:w w:val="66"/>
                                <w:sz w:val="80"/>
                                <w:szCs w:val="80"/>
                              </w:rPr>
                              <w:t>长治市上党区</w:t>
                            </w:r>
                            <w:r>
                              <w:rPr>
                                <w:rFonts w:hint="eastAsia" w:ascii="方正小标宋简体" w:hAnsi="方正小标宋简体" w:eastAsia="方正小标宋简体" w:cs="方正小标宋简体"/>
                                <w:color w:val="FF0000"/>
                                <w:spacing w:val="-16"/>
                                <w:w w:val="66"/>
                                <w:sz w:val="80"/>
                                <w:szCs w:val="80"/>
                                <w:lang w:eastAsia="zh-CN"/>
                              </w:rPr>
                              <w:t>市场监督管理局</w:t>
                            </w:r>
                          </w:p>
                          <w:p w14:paraId="6C8ED89F">
                            <w:pPr>
                              <w:rPr>
                                <w:rFonts w:hint="eastAsia"/>
                              </w:rPr>
                            </w:pPr>
                          </w:p>
                        </w:txbxContent>
                      </wps:txbx>
                      <wps:bodyPr upright="1"/>
                    </wps:wsp>
                  </a:graphicData>
                </a:graphic>
              </wp:anchor>
            </w:drawing>
          </mc:Choice>
          <mc:Fallback>
            <w:pict>
              <v:shape id="_x0000_s1026" o:spid="_x0000_s1026" o:spt="202" type="#_x0000_t202" style="position:absolute;left:0pt;margin-left:-9pt;margin-top:5.6pt;height:137.65pt;width:386.25pt;z-index:251659264;mso-width-relative:page;mso-height-relative:page;" filled="f" stroked="f" coordsize="21600,21600" o:gfxdata="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Xw5+3cAAAACgEAAA8AAAAAAAAAAQAgAAAAIgAAAGRycy9kb3ducmV2LnhtbFBLAQIU&#10;ABQAAAAIAIdO4kAE7nLGtgEAAFkDAAAOAAAAAAAAAAEAIAAAACsBAABkcnMvZTJvRG9jLnhtbFBL&#10;BQYAAAAABgAGAFkBAABTBQAAAAA=&#10;">
                <v:fill on="f" focussize="0,0"/>
                <v:stroke on="f" weight="1.25pt"/>
                <v:imagedata o:title=""/>
                <o:lock v:ext="edit" aspectratio="f"/>
                <v:textbox>
                  <w:txbxContent>
                    <w:p w14:paraId="29F0FC33">
                      <w:pPr>
                        <w:jc w:val="distribute"/>
                        <w:rPr>
                          <w:rFonts w:hint="eastAsia" w:ascii="方正小标宋简体" w:hAnsi="方正小标宋简体" w:eastAsia="方正小标宋简体" w:cs="方正小标宋简体"/>
                          <w:color w:val="FF0000"/>
                          <w:spacing w:val="-16"/>
                          <w:w w:val="80"/>
                          <w:sz w:val="18"/>
                          <w:szCs w:val="18"/>
                        </w:rPr>
                      </w:pPr>
                      <w:r>
                        <w:rPr>
                          <w:rFonts w:hint="eastAsia" w:ascii="方正小标宋简体" w:hAnsi="方正小标宋简体" w:eastAsia="方正小标宋简体" w:cs="方正小标宋简体"/>
                          <w:color w:val="FF0000"/>
                          <w:spacing w:val="-16"/>
                          <w:w w:val="66"/>
                          <w:sz w:val="80"/>
                          <w:szCs w:val="80"/>
                        </w:rPr>
                        <w:t>长治市上党区卫生健康和体育局</w:t>
                      </w:r>
                    </w:p>
                    <w:p w14:paraId="3366C112">
                      <w:pPr>
                        <w:jc w:val="distribute"/>
                        <w:rPr>
                          <w:rFonts w:hint="eastAsia" w:ascii="方正小标宋简体" w:hAnsi="方正小标宋简体" w:eastAsia="方正小标宋简体" w:cs="方正小标宋简体"/>
                          <w:color w:val="FF0000"/>
                          <w:spacing w:val="-16"/>
                          <w:w w:val="80"/>
                          <w:sz w:val="18"/>
                          <w:szCs w:val="18"/>
                          <w:lang w:eastAsia="zh-CN"/>
                        </w:rPr>
                      </w:pPr>
                      <w:r>
                        <w:rPr>
                          <w:rFonts w:hint="eastAsia" w:ascii="方正小标宋简体" w:hAnsi="方正小标宋简体" w:eastAsia="方正小标宋简体" w:cs="方正小标宋简体"/>
                          <w:color w:val="FF0000"/>
                          <w:spacing w:val="-16"/>
                          <w:w w:val="66"/>
                          <w:sz w:val="80"/>
                          <w:szCs w:val="80"/>
                        </w:rPr>
                        <w:t>长治市上党区</w:t>
                      </w:r>
                      <w:r>
                        <w:rPr>
                          <w:rFonts w:hint="eastAsia" w:ascii="方正小标宋简体" w:hAnsi="方正小标宋简体" w:eastAsia="方正小标宋简体" w:cs="方正小标宋简体"/>
                          <w:color w:val="FF0000"/>
                          <w:spacing w:val="-16"/>
                          <w:w w:val="66"/>
                          <w:sz w:val="80"/>
                          <w:szCs w:val="80"/>
                          <w:lang w:eastAsia="zh-CN"/>
                        </w:rPr>
                        <w:t>市场监督管理局</w:t>
                      </w:r>
                    </w:p>
                    <w:p w14:paraId="6C8ED89F">
                      <w:pPr>
                        <w:rPr>
                          <w:rFonts w:hint="eastAsia"/>
                        </w:rPr>
                      </w:pPr>
                    </w:p>
                  </w:txbxContent>
                </v:textbox>
              </v:shape>
            </w:pict>
          </mc:Fallback>
        </mc:AlternateContent>
      </w:r>
    </w:p>
    <w:p w14:paraId="6164F846">
      <w:pPr>
        <w:spacing w:line="500" w:lineRule="exact"/>
        <w:rPr>
          <w:rFonts w:hint="eastAsia" w:ascii="仿宋_GB2312" w:hAnsi="宋体" w:eastAsia="仿宋_GB2312"/>
          <w:sz w:val="32"/>
          <w:szCs w:val="48"/>
        </w:rPr>
      </w:pPr>
      <w:r>
        <w:rPr>
          <w:rFonts w:hint="eastAsia" w:ascii="仿宋_GB2312" w:hAnsi="宋体" w:eastAsia="仿宋_GB2312"/>
          <w:sz w:val="32"/>
          <w:szCs w:val="48"/>
        </w:rPr>
        <mc:AlternateContent>
          <mc:Choice Requires="wps">
            <w:drawing>
              <wp:anchor distT="0" distB="0" distL="114300" distR="114300" simplePos="0" relativeHeight="251660288" behindDoc="0" locked="0" layoutInCell="1" allowOverlap="1">
                <wp:simplePos x="0" y="0"/>
                <wp:positionH relativeFrom="column">
                  <wp:posOffset>4734560</wp:posOffset>
                </wp:positionH>
                <wp:positionV relativeFrom="paragraph">
                  <wp:posOffset>166370</wp:posOffset>
                </wp:positionV>
                <wp:extent cx="1167765" cy="1656080"/>
                <wp:effectExtent l="0" t="0" r="13335" b="1270"/>
                <wp:wrapNone/>
                <wp:docPr id="1" name="矩形 1"/>
                <wp:cNvGraphicFramePr/>
                <a:graphic xmlns:a="http://schemas.openxmlformats.org/drawingml/2006/main">
                  <a:graphicData uri="http://schemas.microsoft.com/office/word/2010/wordprocessingShape">
                    <wps:wsp>
                      <wps:cNvSpPr/>
                      <wps:spPr>
                        <a:xfrm>
                          <a:off x="0" y="0"/>
                          <a:ext cx="1167765" cy="1656080"/>
                        </a:xfrm>
                        <a:prstGeom prst="rect">
                          <a:avLst/>
                        </a:prstGeom>
                        <a:solidFill>
                          <a:srgbClr val="FFFFFF"/>
                        </a:solidFill>
                        <a:ln>
                          <a:noFill/>
                        </a:ln>
                      </wps:spPr>
                      <wps:txbx>
                        <w:txbxContent>
                          <w:p w14:paraId="49F3B180">
                            <w:pPr>
                              <w:rPr>
                                <w:rFonts w:ascii="方正小标宋_GBK" w:eastAsia="方正小标宋_GBK"/>
                                <w:color w:val="FF0000"/>
                                <w:sz w:val="80"/>
                                <w:szCs w:val="80"/>
                              </w:rPr>
                            </w:pPr>
                            <w:r>
                              <w:rPr>
                                <w:rFonts w:hint="eastAsia" w:ascii="方正小标宋简体" w:hAnsi="方正小标宋简体" w:eastAsia="方正小标宋简体" w:cs="方正小标宋简体"/>
                                <w:color w:val="FF0000"/>
                                <w:w w:val="90"/>
                                <w:sz w:val="80"/>
                                <w:szCs w:val="80"/>
                              </w:rPr>
                              <w:t>文件</w:t>
                            </w:r>
                          </w:p>
                          <w:p w14:paraId="793E48D5">
                            <w:pPr>
                              <w:rPr>
                                <w:rFonts w:hint="eastAsia"/>
                              </w:rPr>
                            </w:pPr>
                          </w:p>
                        </w:txbxContent>
                      </wps:txbx>
                      <wps:bodyPr upright="1"/>
                    </wps:wsp>
                  </a:graphicData>
                </a:graphic>
              </wp:anchor>
            </w:drawing>
          </mc:Choice>
          <mc:Fallback>
            <w:pict>
              <v:rect id="_x0000_s1026" o:spid="_x0000_s1026" o:spt="1" style="position:absolute;left:0pt;margin-left:372.8pt;margin-top:13.1pt;height:130.4pt;width:91.95pt;z-index:251660288;mso-width-relative:page;mso-height-relative:page;" fillcolor="#FFFFFF" filled="t" stroked="f" coordsize="21600,21600" o:gfxdata="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5kXuY2AAAAAoBAAAPAAAAAAAAAAEAIAAAACIAAABkcnMvZG93bnJldi54bWxQSwECFAAU&#10;AAAACACHTuJAE+WiUrgBAABrAwAADgAAAAAAAAABACAAAAAnAQAAZHJzL2Uyb0RvYy54bWxQSwUG&#10;AAAAAAYABgBZAQAAUQUAAAAA&#10;">
                <v:fill on="t" focussize="0,0"/>
                <v:stroke on="f"/>
                <v:imagedata o:title=""/>
                <o:lock v:ext="edit" aspectratio="f"/>
                <v:textbox>
                  <w:txbxContent>
                    <w:p w14:paraId="49F3B180">
                      <w:pPr>
                        <w:rPr>
                          <w:rFonts w:ascii="方正小标宋_GBK" w:eastAsia="方正小标宋_GBK"/>
                          <w:color w:val="FF0000"/>
                          <w:sz w:val="80"/>
                          <w:szCs w:val="80"/>
                        </w:rPr>
                      </w:pPr>
                      <w:r>
                        <w:rPr>
                          <w:rFonts w:hint="eastAsia" w:ascii="方正小标宋简体" w:hAnsi="方正小标宋简体" w:eastAsia="方正小标宋简体" w:cs="方正小标宋简体"/>
                          <w:color w:val="FF0000"/>
                          <w:w w:val="90"/>
                          <w:sz w:val="80"/>
                          <w:szCs w:val="80"/>
                        </w:rPr>
                        <w:t>文件</w:t>
                      </w:r>
                    </w:p>
                    <w:p w14:paraId="793E48D5">
                      <w:pPr>
                        <w:rPr>
                          <w:rFonts w:hint="eastAsia"/>
                        </w:rPr>
                      </w:pPr>
                    </w:p>
                  </w:txbxContent>
                </v:textbox>
              </v:rect>
            </w:pict>
          </mc:Fallback>
        </mc:AlternateContent>
      </w:r>
    </w:p>
    <w:p w14:paraId="19829010">
      <w:pPr>
        <w:spacing w:line="500" w:lineRule="exact"/>
        <w:rPr>
          <w:rFonts w:hint="eastAsia" w:ascii="仿宋_GB2312" w:hAnsi="宋体" w:eastAsia="仿宋_GB2312"/>
          <w:sz w:val="32"/>
          <w:szCs w:val="48"/>
        </w:rPr>
      </w:pPr>
    </w:p>
    <w:p w14:paraId="267A6AB2">
      <w:pPr>
        <w:spacing w:line="500" w:lineRule="exact"/>
        <w:rPr>
          <w:rFonts w:hint="eastAsia" w:ascii="仿宋_GB2312" w:hAnsi="宋体" w:eastAsia="仿宋_GB2312"/>
          <w:sz w:val="32"/>
          <w:szCs w:val="48"/>
        </w:rPr>
      </w:pPr>
      <w:r>
        <w:rPr>
          <w:rFonts w:hint="eastAsia" w:ascii="仿宋_GB2312" w:hAnsi="宋体" w:eastAsia="仿宋_GB2312"/>
          <w:sz w:val="32"/>
          <w:szCs w:val="48"/>
        </w:rPr>
        <w:t xml:space="preserve">                                             </w:t>
      </w:r>
    </w:p>
    <w:p w14:paraId="7473AD0F">
      <w:pPr>
        <w:spacing w:line="500" w:lineRule="exact"/>
        <w:rPr>
          <w:rFonts w:hint="eastAsia" w:ascii="仿宋_GB2312" w:hAnsi="宋体" w:eastAsia="仿宋_GB2312"/>
          <w:sz w:val="32"/>
          <w:szCs w:val="48"/>
        </w:rPr>
      </w:pPr>
    </w:p>
    <w:p w14:paraId="1FA9963A">
      <w:pPr>
        <w:spacing w:line="500" w:lineRule="exact"/>
        <w:rPr>
          <w:rFonts w:hint="eastAsia" w:ascii="仿宋_GB2312" w:hAnsi="宋体" w:eastAsia="仿宋_GB2312"/>
          <w:sz w:val="32"/>
          <w:szCs w:val="48"/>
        </w:rPr>
      </w:pPr>
    </w:p>
    <w:p w14:paraId="190DC141">
      <w:pPr>
        <w:spacing w:line="500" w:lineRule="exact"/>
        <w:rPr>
          <w:rFonts w:hint="eastAsia" w:ascii="仿宋_GB2312" w:hAnsi="宋体" w:eastAsia="仿宋_GB2312"/>
          <w:sz w:val="32"/>
          <w:szCs w:val="48"/>
        </w:rPr>
      </w:pPr>
    </w:p>
    <w:p w14:paraId="122CE9AE">
      <w:pPr>
        <w:spacing w:line="500" w:lineRule="exact"/>
        <w:rPr>
          <w:rFonts w:hint="eastAsia" w:ascii="仿宋_GB2312" w:hAnsi="宋体" w:eastAsia="仿宋_GB2312"/>
          <w:sz w:val="32"/>
          <w:szCs w:val="48"/>
        </w:rPr>
      </w:pPr>
    </w:p>
    <w:p w14:paraId="3041F13A">
      <w:pPr>
        <w:spacing w:line="500" w:lineRule="exact"/>
        <w:jc w:val="center"/>
        <w:rPr>
          <w:rFonts w:hint="eastAsia" w:ascii="仿宋_GB2312" w:hAnsi="宋体" w:eastAsia="仿宋_GB2312"/>
          <w:sz w:val="32"/>
          <w:szCs w:val="48"/>
        </w:rPr>
      </w:pPr>
      <w:r>
        <w:rPr>
          <w:rFonts w:hint="eastAsia" w:ascii="仿宋_GB2312" w:hAnsi="宋体" w:eastAsia="仿宋_GB2312"/>
          <w:sz w:val="32"/>
          <w:szCs w:val="48"/>
        </w:rPr>
        <w:t>长上卫字〔202</w:t>
      </w:r>
      <w:r>
        <w:rPr>
          <w:rFonts w:hint="eastAsia" w:ascii="仿宋_GB2312" w:hAnsi="宋体" w:eastAsia="仿宋_GB2312"/>
          <w:sz w:val="32"/>
          <w:szCs w:val="48"/>
          <w:lang w:val="en-US" w:eastAsia="zh-CN"/>
        </w:rPr>
        <w:t>5</w:t>
      </w:r>
      <w:r>
        <w:rPr>
          <w:rFonts w:hint="eastAsia" w:ascii="仿宋_GB2312" w:hAnsi="宋体" w:eastAsia="仿宋_GB2312"/>
          <w:sz w:val="32"/>
          <w:szCs w:val="48"/>
        </w:rPr>
        <w:t>〕</w:t>
      </w:r>
      <w:r>
        <w:rPr>
          <w:rFonts w:hint="eastAsia" w:ascii="仿宋_GB2312" w:hAnsi="宋体" w:eastAsia="仿宋_GB2312"/>
          <w:sz w:val="32"/>
          <w:szCs w:val="48"/>
          <w:lang w:val="en-US" w:eastAsia="zh-CN"/>
        </w:rPr>
        <w:t>9</w:t>
      </w:r>
      <w:r>
        <w:rPr>
          <w:rFonts w:hint="eastAsia" w:ascii="仿宋_GB2312" w:hAnsi="宋体" w:eastAsia="仿宋_GB2312"/>
          <w:sz w:val="32"/>
          <w:szCs w:val="48"/>
        </w:rPr>
        <w:t>号</w:t>
      </w:r>
    </w:p>
    <w:p w14:paraId="701E1F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sz w:val="32"/>
          <w:szCs w:val="48"/>
        </w:rPr>
      </w:pPr>
      <w:r>
        <w:rPr>
          <w:rFonts w:hint="eastAsia" w:ascii="仿宋_GB2312" w:hAnsi="宋体" w:eastAsia="仿宋_GB2312"/>
          <w:sz w:val="32"/>
          <w:szCs w:val="48"/>
        </w:rPr>
        <mc:AlternateContent>
          <mc:Choice Requires="wps">
            <w:drawing>
              <wp:anchor distT="0" distB="0" distL="114300" distR="114300" simplePos="0" relativeHeight="251661312" behindDoc="0" locked="0" layoutInCell="1" allowOverlap="1">
                <wp:simplePos x="0" y="0"/>
                <wp:positionH relativeFrom="column">
                  <wp:posOffset>-233680</wp:posOffset>
                </wp:positionH>
                <wp:positionV relativeFrom="paragraph">
                  <wp:posOffset>60960</wp:posOffset>
                </wp:positionV>
                <wp:extent cx="6094730" cy="41910"/>
                <wp:effectExtent l="0" t="19050" r="1270" b="34290"/>
                <wp:wrapNone/>
                <wp:docPr id="3" name="直接连接符 3"/>
                <wp:cNvGraphicFramePr/>
                <a:graphic xmlns:a="http://schemas.openxmlformats.org/drawingml/2006/main">
                  <a:graphicData uri="http://schemas.microsoft.com/office/word/2010/wordprocessingShape">
                    <wps:wsp>
                      <wps:cNvCnPr/>
                      <wps:spPr>
                        <a:xfrm flipV="1">
                          <a:off x="0" y="0"/>
                          <a:ext cx="6094730" cy="4191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8.4pt;margin-top:4.8pt;height:3.3pt;width:479.9pt;z-index:251661312;mso-width-relative:page;mso-height-relative:page;" filled="f" stroked="t" coordsize="21600,21600" o:gfxdata="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FlQS3XAAAACAEAAA8AAAAAAAAAAQAgAAAAIgAAAGRycy9k&#10;b3ducmV2LnhtbFBLAQIUABQAAAAIAIdO4kBqLcGhAwIAAPMDAAAOAAAAAAAAAAEAIAAAACYBAABk&#10;cnMvZTJvRG9jLnhtbFBLBQYAAAAABgAGAFkBAACbBQAAAAA=&#10;">
                <v:fill on="f" focussize="0,0"/>
                <v:stroke weight="3pt" color="#FF0000" joinstyle="round"/>
                <v:imagedata o:title=""/>
                <o:lock v:ext="edit" aspectratio="f"/>
              </v:line>
            </w:pict>
          </mc:Fallback>
        </mc:AlternateContent>
      </w:r>
    </w:p>
    <w:p w14:paraId="5B77B6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rPr>
      </w:pPr>
    </w:p>
    <w:p w14:paraId="19C6BA8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年游泳馆、超市公共场所</w:t>
      </w:r>
    </w:p>
    <w:p w14:paraId="2169B6D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“双随机、一公开”抽查检查工作实施方案</w:t>
      </w:r>
    </w:p>
    <w:p w14:paraId="7AC0C2D0">
      <w:pPr>
        <w:rPr>
          <w:rFonts w:hint="eastAsia"/>
        </w:rPr>
      </w:pPr>
    </w:p>
    <w:p w14:paraId="24EA64A8">
      <w:pPr>
        <w:keepNext w:val="0"/>
        <w:keepLines w:val="0"/>
        <w:pageBreakBefore w:val="0"/>
        <w:widowControl w:val="0"/>
        <w:kinsoku/>
        <w:wordWrap/>
        <w:overflowPunct/>
        <w:topLinePunct w:val="0"/>
        <w:autoSpaceDE/>
        <w:autoSpaceDN/>
        <w:bidi w:val="0"/>
        <w:adjustRightInd/>
        <w:snapToGrid/>
        <w:spacing w:line="300" w:lineRule="exact"/>
        <w:ind w:firstLine="600" w:firstLineChars="200"/>
        <w:textAlignment w:val="auto"/>
        <w:rPr>
          <w:rFonts w:hint="eastAsia" w:ascii="仿宋" w:hAnsi="仿宋" w:eastAsia="仿宋" w:cs="仿宋"/>
          <w:sz w:val="30"/>
          <w:szCs w:val="30"/>
        </w:rPr>
      </w:pPr>
    </w:p>
    <w:p w14:paraId="71B0EE0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按照长治市卫生健康委员会、长治市市场监督管理局联合下发的《关于开展202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年度部门联合“双随机、一公开”抽查</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的通知》要求，积极落实“双随机、一公开”监管工作，保障我区营商环境持续优化，区卫生健康和体育局、区市场监督管理局决定联合开展202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年游泳馆、超市公共场所定向“双随机、一公开”抽查检查工作，制定本实施方案： </w:t>
      </w:r>
    </w:p>
    <w:p w14:paraId="570793D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一、抽查检查对象和比例</w:t>
      </w:r>
      <w:r>
        <w:rPr>
          <w:rFonts w:hint="eastAsia" w:ascii="仿宋_GB2312" w:hAnsi="仿宋_GB2312" w:eastAsia="仿宋_GB2312" w:cs="仿宋_GB2312"/>
          <w:sz w:val="32"/>
          <w:szCs w:val="32"/>
        </w:rPr>
        <w:t xml:space="preserve"> </w:t>
      </w:r>
    </w:p>
    <w:p w14:paraId="171B0C4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双随机、一公开”监管工作部署要求，本次公共场所定向抽查对象聚焦于本辖区内依法取得营业执照的游泳场馆及大型超市。全年实施动态化、均衡化抽查，上半年、下半年抽查比例各占50%，通过科学分配检查任务，确保监管覆盖全面、效能提升，持续营造规范有序的市场环境。</w:t>
      </w:r>
    </w:p>
    <w:p w14:paraId="04314E1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二、抽查检查依据</w:t>
      </w:r>
      <w:r>
        <w:rPr>
          <w:rFonts w:hint="eastAsia" w:ascii="仿宋_GB2312" w:hAnsi="仿宋_GB2312" w:eastAsia="仿宋_GB2312" w:cs="仿宋_GB2312"/>
          <w:sz w:val="32"/>
          <w:szCs w:val="32"/>
        </w:rPr>
        <w:t xml:space="preserve"> </w:t>
      </w:r>
    </w:p>
    <w:p w14:paraId="42C6D12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共场所卫生管理条例》、《中华人民共和国公司登记管理条例》、《企业名称登记管理规定》、《企业信息公示暂行条例》、《企业公示信息抽查暂行办法》、《企业经营异常名录管理暂行办法》等国家现行法律和条例要求。 </w:t>
      </w:r>
    </w:p>
    <w:p w14:paraId="597EA6F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三、抽查检查内容 </w:t>
      </w:r>
    </w:p>
    <w:p w14:paraId="3EA552BF">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（一）游泳馆、超市的检查：</w:t>
      </w:r>
      <w:r>
        <w:rPr>
          <w:rFonts w:hint="eastAsia" w:ascii="仿宋_GB2312" w:hAnsi="仿宋_GB2312" w:eastAsia="仿宋_GB2312" w:cs="仿宋_GB2312"/>
          <w:sz w:val="32"/>
          <w:szCs w:val="32"/>
        </w:rPr>
        <w:t xml:space="preserve">1.营业执照（登记证）；2.住所（经营场所）或驻在场所的检查；3.法定代表人（负责人）任职情况的检查；4.经营（业务）范围中无需审批的经营（业务）项目的检查。 </w:t>
      </w:r>
    </w:p>
    <w:p w14:paraId="518293AE">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（二）登记事项的检查：</w:t>
      </w:r>
      <w:r>
        <w:rPr>
          <w:rFonts w:hint="eastAsia" w:ascii="仿宋_GB2312" w:hAnsi="仿宋_GB2312" w:eastAsia="仿宋_GB2312" w:cs="仿宋_GB2312"/>
          <w:sz w:val="32"/>
          <w:szCs w:val="32"/>
        </w:rPr>
        <w:t xml:space="preserve">1.规范使用情况的检查；2.名称规范使用情况的检查；3.经营（驻在）期限的检查；4.法定代表人、自然人股东身份真实性的检查。 </w:t>
      </w:r>
    </w:p>
    <w:p w14:paraId="028FABB8">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（三）公示信息检查：</w:t>
      </w:r>
      <w:r>
        <w:rPr>
          <w:rFonts w:hint="eastAsia" w:ascii="仿宋_GB2312" w:hAnsi="仿宋_GB2312" w:eastAsia="仿宋_GB2312" w:cs="仿宋_GB2312"/>
          <w:sz w:val="32"/>
          <w:szCs w:val="32"/>
        </w:rPr>
        <w:t xml:space="preserve">1.年度报告公示信息的检查；2.即时公示信息的检查。 </w:t>
      </w:r>
    </w:p>
    <w:p w14:paraId="5DAD9140">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（四）卫生管理的检查：</w:t>
      </w:r>
      <w:r>
        <w:rPr>
          <w:rFonts w:hint="eastAsia" w:ascii="仿宋_GB2312" w:hAnsi="仿宋_GB2312" w:eastAsia="仿宋_GB2312" w:cs="仿宋_GB2312"/>
          <w:sz w:val="32"/>
          <w:szCs w:val="32"/>
        </w:rPr>
        <w:t xml:space="preserve">1.持有效卫生许可证；2.按规定建立卫生管理制度（档案）、设立卫生管理部门或人员，3.从业人员取得有效健康合格证明；4.按规定组织从业人员进行卫生知识培训；5.按规定对空气、水质、照明、噪声、顾客用品用具等进行卫生检测；6.按规定公示卫生许可证、卫生信誉度等级和卫生检测结果。 </w:t>
      </w:r>
    </w:p>
    <w:p w14:paraId="2E2C295C">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（五）设施设备和公共卫生间的检查：</w:t>
      </w:r>
      <w:r>
        <w:rPr>
          <w:rFonts w:hint="eastAsia" w:ascii="仿宋_GB2312" w:hAnsi="仿宋_GB2312" w:eastAsia="仿宋_GB2312" w:cs="仿宋_GB2312"/>
          <w:sz w:val="32"/>
          <w:szCs w:val="32"/>
        </w:rPr>
        <w:t>1.按规定配备、使用病媒微生物或废弃物存放设施设备；2.按规定设置、使用公共卫</w:t>
      </w:r>
    </w:p>
    <w:p w14:paraId="3C7E2D7F">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生间；3.游泳场所按规定设置、使用清洗、消毒、保洁、盥洗等设备设施；4.游泳场所按规定设置、使用浸脚消毒池。 </w:t>
      </w:r>
    </w:p>
    <w:p w14:paraId="0D278216">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（六）通风系统检查：</w:t>
      </w:r>
      <w:r>
        <w:rPr>
          <w:rFonts w:hint="eastAsia" w:ascii="仿宋_GB2312" w:hAnsi="仿宋_GB2312" w:eastAsia="仿宋_GB2312" w:cs="仿宋_GB2312"/>
          <w:sz w:val="32"/>
          <w:szCs w:val="32"/>
        </w:rPr>
        <w:t xml:space="preserve">1.按规定建立完整的集中空调通风系统卫生档案；2.按规定对集中空调通风系统进行卫生检测或卫生评价；3.按规定对集中空调通风系统进行消洗消毒。 </w:t>
      </w:r>
    </w:p>
    <w:p w14:paraId="2BE42C0C">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（七）游泳馆用品用具的检查：</w:t>
      </w:r>
      <w:r>
        <w:rPr>
          <w:rFonts w:hint="eastAsia" w:ascii="仿宋_GB2312" w:hAnsi="仿宋_GB2312" w:eastAsia="仿宋_GB2312" w:cs="仿宋_GB2312"/>
          <w:sz w:val="32"/>
          <w:szCs w:val="32"/>
        </w:rPr>
        <w:t xml:space="preserve">1.按规定对公共用品用具进行清洗、消毒、保洁；2.按规定使用一次性用品用具；3.索取公共卫生用品检验合格证明和其他相关资料。 </w:t>
      </w:r>
    </w:p>
    <w:p w14:paraId="68BA670A">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（八）危害健康事故处置：</w:t>
      </w:r>
      <w:r>
        <w:rPr>
          <w:rFonts w:hint="eastAsia" w:ascii="仿宋_GB2312" w:hAnsi="仿宋_GB2312" w:eastAsia="仿宋_GB2312" w:cs="仿宋_GB2312"/>
          <w:sz w:val="32"/>
          <w:szCs w:val="32"/>
        </w:rPr>
        <w:t xml:space="preserve">1.按规定处置危害健康事故；2.按规定报告危害健康事故。 </w:t>
      </w:r>
    </w:p>
    <w:p w14:paraId="60FB9A13">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（九）禁止吸烟的检查：</w:t>
      </w:r>
      <w:r>
        <w:rPr>
          <w:rFonts w:hint="eastAsia" w:ascii="仿宋_GB2312" w:hAnsi="仿宋_GB2312" w:eastAsia="仿宋_GB2312" w:cs="仿宋_GB2312"/>
          <w:sz w:val="32"/>
          <w:szCs w:val="32"/>
        </w:rPr>
        <w:t xml:space="preserve">1.设置醒目的禁止吸烟警语和标志；2.室内公共场所禁止吸烟。 </w:t>
      </w:r>
    </w:p>
    <w:p w14:paraId="10C5032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四、抽查检查时间 </w:t>
      </w:r>
    </w:p>
    <w:p w14:paraId="0AE9C36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上半年时间为：2025年6月15日至6月25日。</w:t>
      </w:r>
    </w:p>
    <w:p w14:paraId="7B150DD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下半年时间为：</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xml:space="preserve">日至12月20日。 </w:t>
      </w:r>
    </w:p>
    <w:p w14:paraId="0745747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五、有关要求 </w:t>
      </w:r>
    </w:p>
    <w:p w14:paraId="4873E2A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相关部门要高度重视本次联合双随机工作，加强统筹协调，要按照部门职能分工，严肃查处违法行为，执法检查人员要严守工作纪律、廉洁纪律，扎实推进本次跨部门“双随机、一公开”抽查检查工作确保有序高效开展。 </w:t>
      </w:r>
    </w:p>
    <w:p w14:paraId="3507A4A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区卫体局、区市场监督管理局负责组织本次抽查检查工作，认真组织开展，确保抽查检查的质量和效果。要按照“谁检查、谁录入”的原则，在完成抽查检查任务后，20个工作日内，将结果和依法应当公示的企业监管信息归集于市场主体名下，</w:t>
      </w:r>
    </w:p>
    <w:p w14:paraId="31E0850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并通过公示系统向社会公示，公示情况将作为考核的内容，未进行结果公示将视为未完成此项工作。 </w:t>
      </w:r>
    </w:p>
    <w:p w14:paraId="6F7176B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14:paraId="05E3155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14:paraId="3BA9420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bookmarkStart w:id="0" w:name="_GoBack"/>
      <w:bookmarkEnd w:id="0"/>
    </w:p>
    <w:p w14:paraId="018D8B78">
      <w:pPr>
        <w:keepNext w:val="0"/>
        <w:keepLines w:val="0"/>
        <w:pageBreakBefore w:val="0"/>
        <w:widowControl w:val="0"/>
        <w:kinsoku/>
        <w:wordWrap/>
        <w:overflowPunct/>
        <w:topLinePunct w:val="0"/>
        <w:autoSpaceDE/>
        <w:autoSpaceDN/>
        <w:bidi w:val="0"/>
        <w:adjustRightInd/>
        <w:snapToGrid/>
        <w:spacing w:line="570" w:lineRule="exact"/>
        <w:ind w:firstLine="564" w:firstLineChars="200"/>
        <w:textAlignment w:val="auto"/>
        <w:rPr>
          <w:rFonts w:hint="eastAsia" w:ascii="仿宋_GB2312" w:hAnsi="仿宋_GB2312" w:eastAsia="仿宋_GB2312" w:cs="仿宋_GB2312"/>
          <w:spacing w:val="-11"/>
          <w:w w:val="95"/>
          <w:sz w:val="32"/>
          <w:szCs w:val="32"/>
        </w:rPr>
      </w:pPr>
      <w:r>
        <w:rPr>
          <w:rFonts w:hint="eastAsia" w:ascii="仿宋_GB2312" w:hAnsi="仿宋_GB2312" w:eastAsia="仿宋_GB2312" w:cs="仿宋_GB2312"/>
          <w:spacing w:val="-11"/>
          <w:w w:val="95"/>
          <w:sz w:val="32"/>
          <w:szCs w:val="32"/>
        </w:rPr>
        <w:t xml:space="preserve">长治市上党区卫生健康和体育局 </w:t>
      </w:r>
      <w:r>
        <w:rPr>
          <w:rFonts w:hint="eastAsia" w:ascii="仿宋_GB2312" w:hAnsi="仿宋_GB2312" w:eastAsia="仿宋_GB2312" w:cs="仿宋_GB2312"/>
          <w:spacing w:val="-11"/>
          <w:w w:val="95"/>
          <w:sz w:val="32"/>
          <w:szCs w:val="32"/>
          <w:lang w:val="en-US" w:eastAsia="zh-CN"/>
        </w:rPr>
        <w:t xml:space="preserve">   </w:t>
      </w:r>
      <w:r>
        <w:rPr>
          <w:rFonts w:hint="eastAsia" w:ascii="仿宋_GB2312" w:hAnsi="仿宋_GB2312" w:eastAsia="仿宋_GB2312" w:cs="仿宋_GB2312"/>
          <w:spacing w:val="-11"/>
          <w:w w:val="95"/>
          <w:sz w:val="32"/>
          <w:szCs w:val="32"/>
        </w:rPr>
        <w:t xml:space="preserve">长治市上党区市场监督管理局 </w:t>
      </w:r>
    </w:p>
    <w:p w14:paraId="7CAE961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FB12479">
      <w:pPr>
        <w:keepNext w:val="0"/>
        <w:keepLines w:val="0"/>
        <w:pageBreakBefore w:val="0"/>
        <w:widowControl w:val="0"/>
        <w:kinsoku/>
        <w:wordWrap/>
        <w:overflowPunct/>
        <w:topLinePunct w:val="0"/>
        <w:autoSpaceDE/>
        <w:autoSpaceDN/>
        <w:bidi w:val="0"/>
        <w:adjustRightInd/>
        <w:snapToGrid/>
        <w:spacing w:line="570" w:lineRule="exact"/>
        <w:ind w:firstLine="5760" w:firstLineChars="1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2024年6月10日</w:t>
      </w:r>
    </w:p>
    <w:p w14:paraId="1B483E5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1E27C2"/>
    <w:rsid w:val="2ED472F9"/>
    <w:rsid w:val="36DD5783"/>
    <w:rsid w:val="3E391C63"/>
    <w:rsid w:val="49057036"/>
    <w:rsid w:val="4DB626B3"/>
    <w:rsid w:val="53FA4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1457</Words>
  <Characters>1519</Characters>
  <Lines>0</Lines>
  <Paragraphs>0</Paragraphs>
  <TotalTime>3</TotalTime>
  <ScaleCrop>false</ScaleCrop>
  <LinksUpToDate>false</LinksUpToDate>
  <CharactersWithSpaces>1621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魏娜</cp:lastModifiedBy>
  <cp:lastPrinted>2025-06-10T00:47:00Z</cp:lastPrinted>
  <dcterms:modified xsi:type="dcterms:W3CDTF">2025-06-10T06:59:06Z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eyJoZGlkIjoiMWEwOWVkYTQ0MzQ2NmE5NjNjZDQ1YmUzN2Y5Njc4YzUiLCJ1c2VySWQiOiIzNzI4Mjk3NjgifQ==</vt:lpwstr>
  </property>
  <property fmtid="{D5CDD505-2E9C-101B-9397-08002B2CF9AE}" pid="4" name="ICV">
    <vt:lpwstr>89BC374E6487426EA449A7AEEB8169BA_13</vt:lpwstr>
  </property>
</Properties>
</file>