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0548E">
      <w:pPr>
        <w:spacing w:line="560" w:lineRule="exact"/>
        <w:jc w:val="center"/>
        <w:rPr>
          <w:rFonts w:hint="eastAsia" w:ascii="微软雅黑" w:eastAsia="微软雅黑"/>
          <w:sz w:val="44"/>
          <w:szCs w:val="44"/>
        </w:rPr>
      </w:pPr>
    </w:p>
    <w:p w14:paraId="73F7DB97">
      <w:pPr>
        <w:spacing w:line="560" w:lineRule="exact"/>
        <w:jc w:val="center"/>
        <w:rPr>
          <w:rFonts w:hint="eastAsia" w:ascii="微软雅黑" w:eastAsia="微软雅黑"/>
          <w:sz w:val="44"/>
          <w:szCs w:val="44"/>
        </w:rPr>
      </w:pPr>
    </w:p>
    <w:p w14:paraId="2BB6DE5B">
      <w:pPr>
        <w:spacing w:line="560" w:lineRule="exact"/>
        <w:jc w:val="center"/>
        <w:rPr>
          <w:rFonts w:hint="eastAsia" w:ascii="微软雅黑" w:eastAsia="微软雅黑"/>
          <w:sz w:val="44"/>
          <w:szCs w:val="44"/>
        </w:rPr>
      </w:pPr>
    </w:p>
    <w:p w14:paraId="102C77B8">
      <w:pPr>
        <w:spacing w:line="560" w:lineRule="exact"/>
        <w:jc w:val="center"/>
        <w:rPr>
          <w:rFonts w:hint="eastAsia" w:ascii="微软雅黑" w:eastAsia="微软雅黑"/>
          <w:sz w:val="44"/>
          <w:szCs w:val="44"/>
        </w:rPr>
      </w:pPr>
    </w:p>
    <w:p w14:paraId="7ADEF387">
      <w:pPr>
        <w:spacing w:line="560" w:lineRule="exact"/>
        <w:jc w:val="center"/>
        <w:rPr>
          <w:rFonts w:hint="eastAsia" w:ascii="微软雅黑" w:eastAsia="微软雅黑"/>
          <w:sz w:val="44"/>
          <w:szCs w:val="44"/>
        </w:rPr>
      </w:pPr>
    </w:p>
    <w:p w14:paraId="1B27BC8A">
      <w:pPr>
        <w:spacing w:line="560" w:lineRule="exact"/>
        <w:jc w:val="center"/>
        <w:rPr>
          <w:rFonts w:hint="eastAsia" w:ascii="微软雅黑" w:eastAsia="微软雅黑"/>
          <w:sz w:val="44"/>
          <w:szCs w:val="44"/>
        </w:rPr>
      </w:pPr>
    </w:p>
    <w:p w14:paraId="69B94179">
      <w:pPr>
        <w:spacing w:line="560" w:lineRule="exact"/>
        <w:jc w:val="center"/>
        <w:rPr>
          <w:rFonts w:hint="eastAsia" w:ascii="仿宋" w:hAnsi="仿宋" w:cs="仿宋"/>
          <w:sz w:val="32"/>
          <w:szCs w:val="32"/>
          <w:lang w:val="en-US" w:eastAsia="zh-CN"/>
        </w:rPr>
      </w:pPr>
    </w:p>
    <w:p w14:paraId="337FC845">
      <w:pPr>
        <w:spacing w:line="560" w:lineRule="exact"/>
        <w:jc w:val="center"/>
        <w:rPr>
          <w:rFonts w:hint="eastAsia" w:ascii="仿宋" w:hAnsi="仿宋" w:cs="仿宋"/>
          <w:sz w:val="32"/>
          <w:szCs w:val="32"/>
          <w:lang w:val="en-US" w:eastAsia="zh-CN"/>
        </w:rPr>
      </w:pPr>
    </w:p>
    <w:p w14:paraId="62E32E0D">
      <w:pPr>
        <w:spacing w:line="560" w:lineRule="exact"/>
        <w:jc w:val="center"/>
        <w:rPr>
          <w:rFonts w:hint="default" w:ascii="仿宋" w:hAnsi="仿宋" w:eastAsia="仿宋" w:cs="仿宋"/>
          <w:sz w:val="32"/>
          <w:szCs w:val="32"/>
          <w:lang w:val="en-US" w:eastAsia="zh-CN"/>
        </w:rPr>
      </w:pPr>
      <w:r>
        <w:rPr>
          <w:rFonts w:hint="eastAsia" w:ascii="仿宋" w:hAnsi="仿宋" w:cs="仿宋"/>
          <w:sz w:val="32"/>
          <w:szCs w:val="32"/>
          <w:lang w:val="en-US" w:eastAsia="zh-CN"/>
        </w:rPr>
        <w:t xml:space="preserve">长上能局字〔2025〕37号                </w:t>
      </w:r>
      <w:bookmarkStart w:id="0" w:name="_GoBack"/>
      <w:bookmarkEnd w:id="0"/>
      <w:r>
        <w:rPr>
          <w:rFonts w:hint="eastAsia" w:ascii="仿宋" w:hAnsi="仿宋" w:cs="仿宋"/>
          <w:sz w:val="32"/>
          <w:szCs w:val="32"/>
          <w:lang w:val="en-US" w:eastAsia="zh-CN"/>
        </w:rPr>
        <w:t>签发人：</w:t>
      </w:r>
      <w:r>
        <w:rPr>
          <w:rFonts w:hint="eastAsia" w:ascii="楷体" w:hAnsi="楷体" w:eastAsia="楷体" w:cs="楷体"/>
          <w:sz w:val="32"/>
          <w:szCs w:val="32"/>
          <w:lang w:val="en-US" w:eastAsia="zh-CN"/>
        </w:rPr>
        <w:t>董卫勤</w:t>
      </w:r>
    </w:p>
    <w:p w14:paraId="631A6BE0">
      <w:pPr>
        <w:spacing w:line="560" w:lineRule="exact"/>
        <w:jc w:val="center"/>
        <w:rPr>
          <w:rFonts w:hint="eastAsia" w:ascii="微软雅黑" w:eastAsia="微软雅黑"/>
          <w:sz w:val="44"/>
          <w:szCs w:val="44"/>
        </w:rPr>
      </w:pPr>
    </w:p>
    <w:p w14:paraId="3E078A27">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长治市上党区能源局</w:t>
      </w:r>
    </w:p>
    <w:p w14:paraId="2436E67F">
      <w:pPr>
        <w:keepNext w:val="0"/>
        <w:keepLines w:val="0"/>
        <w:pageBreakBefore w:val="0"/>
        <w:widowControl w:val="0"/>
        <w:kinsoku/>
        <w:wordWrap/>
        <w:overflowPunct/>
        <w:topLinePunct w:val="0"/>
        <w:autoSpaceDE/>
        <w:autoSpaceDN/>
        <w:bidi w:val="0"/>
        <w:adjustRightInd/>
        <w:snapToGrid/>
        <w:spacing w:line="640" w:lineRule="atLeast"/>
        <w:jc w:val="center"/>
        <w:textAlignment w:val="auto"/>
        <w:rPr>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年法治政府建设</w:t>
      </w:r>
      <w:r>
        <w:rPr>
          <w:rFonts w:hint="eastAsia" w:ascii="方正小标宋简体" w:hAnsi="方正小标宋简体" w:eastAsia="方正小标宋简体" w:cs="方正小标宋简体"/>
          <w:sz w:val="44"/>
          <w:szCs w:val="44"/>
          <w:lang w:val="en-US" w:eastAsia="zh-CN"/>
        </w:rPr>
        <w:t>年度</w:t>
      </w:r>
      <w:r>
        <w:rPr>
          <w:rFonts w:hint="eastAsia" w:ascii="方正小标宋简体" w:hAnsi="方正小标宋简体" w:eastAsia="方正小标宋简体" w:cs="方正小标宋简体"/>
          <w:sz w:val="44"/>
          <w:szCs w:val="44"/>
        </w:rPr>
        <w:t>报告</w:t>
      </w:r>
    </w:p>
    <w:p w14:paraId="55FEF8E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Style w:val="8"/>
          <w:rFonts w:hint="eastAsia" w:ascii="仿宋" w:hAnsi="仿宋" w:eastAsia="仿宋" w:cs="仿宋"/>
          <w:color w:val="000000"/>
          <w:sz w:val="32"/>
          <w:szCs w:val="32"/>
          <w:lang w:val="en-US" w:eastAsia="zh-CN"/>
          <w14:textFill>
            <w14:solidFill>
              <w14:srgbClr w14:val="000000">
                <w14:lumMod w14:val="65000"/>
                <w14:lumOff w14:val="35000"/>
              </w14:srgbClr>
            </w14:solidFill>
          </w14:textFill>
        </w:rPr>
      </w:pPr>
      <w:r>
        <w:rPr>
          <w:rStyle w:val="8"/>
          <w:rFonts w:hint="eastAsia" w:ascii="仿宋" w:hAnsi="仿宋" w:eastAsia="仿宋" w:cs="仿宋"/>
          <w:color w:val="000000"/>
          <w:sz w:val="32"/>
          <w:szCs w:val="32"/>
          <w:lang w:eastAsia="zh-CN"/>
          <w14:textFill>
            <w14:solidFill>
              <w14:srgbClr w14:val="000000">
                <w14:lumMod w14:val="65000"/>
                <w14:lumOff w14:val="35000"/>
              </w14:srgbClr>
            </w14:solidFill>
          </w14:textFill>
        </w:rPr>
        <w:t>202</w:t>
      </w:r>
      <w:r>
        <w:rPr>
          <w:rStyle w:val="8"/>
          <w:rFonts w:hint="eastAsia" w:ascii="仿宋" w:hAnsi="仿宋" w:eastAsia="仿宋" w:cs="仿宋"/>
          <w:color w:val="000000"/>
          <w:sz w:val="32"/>
          <w:szCs w:val="32"/>
          <w:lang w:val="en-US" w:eastAsia="zh-CN"/>
          <w14:textFill>
            <w14:solidFill>
              <w14:srgbClr w14:val="000000">
                <w14:lumMod w14:val="65000"/>
                <w14:lumOff w14:val="35000"/>
              </w14:srgbClr>
            </w14:solidFill>
          </w14:textFill>
        </w:rPr>
        <w:t>5年，我局始终坚持以习近平法治思想为</w:t>
      </w:r>
      <w:r>
        <w:rPr>
          <w:rStyle w:val="8"/>
          <w:rFonts w:hint="eastAsia" w:ascii="仿宋" w:hAnsi="仿宋" w:cs="仿宋"/>
          <w:color w:val="000000"/>
          <w:sz w:val="32"/>
          <w:szCs w:val="32"/>
          <w:lang w:val="en-US" w:eastAsia="zh-CN"/>
          <w14:textFill>
            <w14:solidFill>
              <w14:srgbClr w14:val="000000">
                <w14:lumMod w14:val="65000"/>
                <w14:lumOff w14:val="35000"/>
              </w14:srgbClr>
            </w14:solidFill>
          </w14:textFill>
        </w:rPr>
        <w:t>根本遵循</w:t>
      </w:r>
      <w:r>
        <w:rPr>
          <w:rStyle w:val="8"/>
          <w:rFonts w:hint="eastAsia" w:ascii="仿宋" w:hAnsi="仿宋" w:eastAsia="仿宋" w:cs="仿宋"/>
          <w:color w:val="000000"/>
          <w:sz w:val="32"/>
          <w:szCs w:val="32"/>
          <w:lang w:val="en-US" w:eastAsia="zh-CN"/>
          <w14:textFill>
            <w14:solidFill>
              <w14:srgbClr w14:val="000000">
                <w14:lumMod w14:val="65000"/>
                <w14:lumOff w14:val="35000"/>
              </w14:srgbClr>
            </w14:solidFill>
          </w14:textFill>
        </w:rPr>
        <w:t>，深入贯彻党的二十大</w:t>
      </w:r>
      <w:r>
        <w:rPr>
          <w:rStyle w:val="8"/>
          <w:rFonts w:hint="eastAsia" w:ascii="仿宋" w:hAnsi="仿宋" w:cs="仿宋"/>
          <w:color w:val="000000"/>
          <w:sz w:val="32"/>
          <w:szCs w:val="32"/>
          <w:lang w:val="en-US" w:eastAsia="zh-CN"/>
          <w14:textFill>
            <w14:solidFill>
              <w14:srgbClr w14:val="000000">
                <w14:lumMod w14:val="65000"/>
                <w14:lumOff w14:val="35000"/>
              </w14:srgbClr>
            </w14:solidFill>
          </w14:textFill>
        </w:rPr>
        <w:t>和</w:t>
      </w:r>
      <w:r>
        <w:rPr>
          <w:rStyle w:val="8"/>
          <w:rFonts w:hint="eastAsia" w:ascii="仿宋" w:hAnsi="仿宋" w:eastAsia="仿宋" w:cs="仿宋"/>
          <w:color w:val="000000"/>
          <w:sz w:val="32"/>
          <w:szCs w:val="32"/>
          <w:lang w:val="en-US" w:eastAsia="zh-CN"/>
          <w14:textFill>
            <w14:solidFill>
              <w14:srgbClr w14:val="000000">
                <w14:lumMod w14:val="65000"/>
                <w14:lumOff w14:val="35000"/>
              </w14:srgbClr>
            </w14:solidFill>
          </w14:textFill>
        </w:rPr>
        <w:t>二十届</w:t>
      </w:r>
      <w:r>
        <w:rPr>
          <w:rStyle w:val="8"/>
          <w:rFonts w:hint="eastAsia" w:ascii="仿宋" w:hAnsi="仿宋" w:cs="仿宋"/>
          <w:color w:val="000000"/>
          <w:sz w:val="32"/>
          <w:szCs w:val="32"/>
          <w:lang w:val="en-US" w:eastAsia="zh-CN"/>
          <w14:textFill>
            <w14:solidFill>
              <w14:srgbClr w14:val="000000">
                <w14:lumMod w14:val="65000"/>
                <w14:lumOff w14:val="35000"/>
              </w14:srgbClr>
            </w14:solidFill>
          </w14:textFill>
        </w:rPr>
        <w:t>历次</w:t>
      </w:r>
      <w:r>
        <w:rPr>
          <w:rStyle w:val="8"/>
          <w:rFonts w:hint="eastAsia" w:ascii="仿宋" w:hAnsi="仿宋" w:eastAsia="仿宋" w:cs="仿宋"/>
          <w:color w:val="000000"/>
          <w:sz w:val="32"/>
          <w:szCs w:val="32"/>
          <w:lang w:val="en-US" w:eastAsia="zh-CN"/>
          <w14:textFill>
            <w14:solidFill>
              <w14:srgbClr w14:val="000000">
                <w14:lumMod w14:val="65000"/>
                <w14:lumOff w14:val="35000"/>
              </w14:srgbClr>
            </w14:solidFill>
          </w14:textFill>
        </w:rPr>
        <w:t>全会精神，认真落实中央、省、市、区关于全面依法治国、坚持依法行政的重大决策部署</w:t>
      </w:r>
      <w:r>
        <w:rPr>
          <w:rStyle w:val="8"/>
          <w:rFonts w:hint="eastAsia" w:ascii="仿宋" w:hAnsi="仿宋" w:cs="仿宋"/>
          <w:color w:val="000000"/>
          <w:sz w:val="32"/>
          <w:szCs w:val="32"/>
          <w:lang w:val="en-US" w:eastAsia="zh-CN"/>
          <w14:textFill>
            <w14:solidFill>
              <w14:srgbClr w14:val="000000">
                <w14:lumMod w14:val="65000"/>
                <w14:lumOff w14:val="35000"/>
              </w14:srgbClr>
            </w14:solidFill>
          </w14:textFill>
        </w:rPr>
        <w:t>，自觉接受人大法律监督、政协民主监督，</w:t>
      </w:r>
      <w:r>
        <w:rPr>
          <w:rStyle w:val="8"/>
          <w:rFonts w:hint="eastAsia" w:ascii="仿宋" w:hAnsi="仿宋" w:eastAsia="仿宋" w:cs="仿宋"/>
          <w:color w:val="000000"/>
          <w:sz w:val="32"/>
          <w:szCs w:val="32"/>
          <w:lang w:val="en-US" w:eastAsia="zh-CN"/>
          <w14:textFill>
            <w14:solidFill>
              <w14:srgbClr w14:val="000000">
                <w14:lumMod w14:val="65000"/>
                <w14:lumOff w14:val="35000"/>
              </w14:srgbClr>
            </w14:solidFill>
          </w14:textFill>
        </w:rPr>
        <w:t>依法履行职责，扎实推进依法行政，运用法治思维持续推动能源行业管理工作高质量发展。现将相关情况报告如下：</w:t>
      </w:r>
    </w:p>
    <w:p w14:paraId="4F627A6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Style w:val="8"/>
          <w:rFonts w:hint="eastAsia" w:ascii="仿宋" w:hAnsi="仿宋" w:cs="仿宋"/>
          <w:color w:val="000000"/>
          <w:sz w:val="32"/>
          <w:szCs w:val="32"/>
          <w:lang w:val="en-US" w:eastAsia="zh-CN"/>
          <w14:textFill>
            <w14:solidFill>
              <w14:srgbClr w14:val="000000">
                <w14:lumMod w14:val="65000"/>
                <w14:lumOff w14:val="35000"/>
              </w14:srgbClr>
            </w14:solidFill>
          </w14:textFill>
        </w:rPr>
      </w:pPr>
      <w:r>
        <w:rPr>
          <w:rStyle w:val="8"/>
          <w:rFonts w:hint="eastAsia" w:ascii="黑体" w:hAnsi="黑体" w:eastAsia="黑体" w:cs="黑体"/>
          <w:color w:val="000000"/>
          <w:sz w:val="32"/>
          <w:szCs w:val="32"/>
          <w:lang w:val="en-US" w:eastAsia="zh-CN"/>
          <w14:textFill>
            <w14:solidFill>
              <w14:srgbClr w14:val="000000">
                <w14:lumMod w14:val="65000"/>
                <w14:lumOff w14:val="35000"/>
              </w14:srgbClr>
            </w14:solidFill>
          </w14:textFill>
        </w:rPr>
        <w:t>一、2025年推进法治政府建设的主要举措和成效</w:t>
      </w:r>
    </w:p>
    <w:p w14:paraId="09AAB18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Style w:val="8"/>
          <w:rFonts w:hint="eastAsia" w:ascii="楷体" w:hAnsi="楷体" w:eastAsia="楷体" w:cs="楷体"/>
          <w:color w:val="000000"/>
          <w:sz w:val="32"/>
          <w:szCs w:val="32"/>
          <w:lang w:val="en-US" w:eastAsia="zh-CN"/>
          <w14:textFill>
            <w14:solidFill>
              <w14:srgbClr w14:val="000000">
                <w14:lumMod w14:val="65000"/>
                <w14:lumOff w14:val="35000"/>
              </w14:srgbClr>
            </w14:solidFill>
          </w14:textFill>
        </w:rPr>
      </w:pPr>
      <w:r>
        <w:rPr>
          <w:rStyle w:val="8"/>
          <w:rFonts w:hint="eastAsia" w:ascii="楷体" w:hAnsi="楷体" w:eastAsia="楷体" w:cs="楷体"/>
          <w:color w:val="000000"/>
          <w:sz w:val="32"/>
          <w:szCs w:val="32"/>
          <w:lang w:val="en-US" w:eastAsia="zh-CN"/>
          <w14:textFill>
            <w14:solidFill>
              <w14:srgbClr w14:val="000000">
                <w14:lumMod w14:val="65000"/>
                <w14:lumOff w14:val="35000"/>
              </w14:srgbClr>
            </w14:solidFill>
          </w14:textFill>
        </w:rPr>
        <w:t>（一）强化政治引领保障，深化法治理论学习</w:t>
      </w:r>
    </w:p>
    <w:p w14:paraId="466418A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pPr>
      <w:r>
        <w:t>始终以习近平法治思想为引领，坚持将法治理论学习作为筑基工程，通过党组会</w:t>
      </w:r>
      <w:r>
        <w:rPr>
          <w:rFonts w:hint="eastAsia"/>
          <w:lang w:eastAsia="zh-CN"/>
        </w:rPr>
        <w:t>“</w:t>
      </w:r>
      <w:r>
        <w:t>第一议题</w:t>
      </w:r>
      <w:r>
        <w:rPr>
          <w:rFonts w:hint="eastAsia"/>
          <w:lang w:eastAsia="zh-CN"/>
        </w:rPr>
        <w:t>”</w:t>
      </w:r>
      <w:r>
        <w:t>制度常态化开展习近平法治思想专题学习，同步推进《中华人民共和国能源法》《中华人民共和国</w:t>
      </w:r>
      <w:r>
        <w:rPr>
          <w:rFonts w:hint="eastAsia"/>
          <w:lang w:val="en-US" w:eastAsia="zh-CN"/>
        </w:rPr>
        <w:t>电力法</w:t>
      </w:r>
      <w:r>
        <w:t>》等能源领域法律法规的集体研学，确保</w:t>
      </w:r>
      <w:r>
        <w:rPr>
          <w:rFonts w:hint="eastAsia"/>
          <w:lang w:val="en-US" w:eastAsia="zh-CN"/>
        </w:rPr>
        <w:t>机关全体人员</w:t>
      </w:r>
      <w:r>
        <w:t>在思想理论上与党中央法治建设部署同频共振</w:t>
      </w:r>
      <w:r>
        <w:rPr>
          <w:rFonts w:hint="eastAsia"/>
          <w:lang w:eastAsia="zh-CN"/>
        </w:rPr>
        <w:t>。</w:t>
      </w:r>
      <w:r>
        <w:rPr>
          <w:rFonts w:hint="eastAsia" w:ascii="仿宋" w:hAnsi="仿宋" w:eastAsia="仿宋" w:cs="仿宋"/>
          <w:b w:val="0"/>
          <w:bCs w:val="0"/>
          <w:sz w:val="32"/>
          <w:szCs w:val="32"/>
          <w:lang w:val="en-US" w:eastAsia="zh-CN"/>
        </w:rPr>
        <w:t>积极参加司法部门组织的各类法治学习培训，</w:t>
      </w:r>
      <w:r>
        <w:rPr>
          <w:rFonts w:hint="eastAsia" w:ascii="仿宋" w:hAnsi="仿宋" w:cs="仿宋"/>
          <w:b w:val="0"/>
          <w:bCs w:val="0"/>
          <w:sz w:val="32"/>
          <w:szCs w:val="32"/>
          <w:lang w:val="en-US" w:eastAsia="zh-CN"/>
        </w:rPr>
        <w:t>组织行政执法人员观看行政执法大讲堂共12期，不断加强法治思想教育，提升执法能力。</w:t>
      </w:r>
    </w:p>
    <w:p w14:paraId="1D7C37B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lang w:val="en-US" w:eastAsia="zh-CN"/>
        </w:rPr>
      </w:pPr>
      <w:r>
        <w:rPr>
          <w:rFonts w:hint="eastAsia" w:ascii="楷体" w:hAnsi="楷体" w:eastAsia="楷体" w:cs="楷体"/>
          <w:lang w:eastAsia="zh-CN"/>
        </w:rPr>
        <w:t>（</w:t>
      </w:r>
      <w:r>
        <w:rPr>
          <w:rFonts w:hint="eastAsia" w:ascii="楷体" w:hAnsi="楷体" w:eastAsia="楷体" w:cs="楷体"/>
          <w:lang w:val="en-US" w:eastAsia="zh-CN"/>
        </w:rPr>
        <w:t>二</w:t>
      </w:r>
      <w:r>
        <w:rPr>
          <w:rFonts w:hint="eastAsia" w:ascii="楷体" w:hAnsi="楷体" w:eastAsia="楷体" w:cs="楷体"/>
          <w:lang w:eastAsia="zh-CN"/>
        </w:rPr>
        <w:t>）严格行政程序，规范行政权力运行</w:t>
      </w:r>
    </w:p>
    <w:p w14:paraId="488F2E9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仿宋"/>
          <w:sz w:val="32"/>
          <w:szCs w:val="32"/>
          <w:lang w:val="en-US" w:eastAsia="zh-CN"/>
        </w:rPr>
      </w:pPr>
      <w:r>
        <w:rPr>
          <w:rFonts w:hint="eastAsia" w:ascii="仿宋" w:hAnsi="仿宋" w:cs="仿宋"/>
          <w:sz w:val="32"/>
          <w:szCs w:val="32"/>
          <w:lang w:val="en-US" w:eastAsia="zh-CN"/>
        </w:rPr>
        <w:t>一是</w:t>
      </w:r>
      <w:r>
        <w:rPr>
          <w:rFonts w:hint="eastAsia" w:ascii="仿宋" w:hAnsi="仿宋" w:eastAsia="仿宋" w:cs="仿宋"/>
          <w:lang w:val="en-US" w:eastAsia="zh-CN"/>
        </w:rPr>
        <w:t>各股室</w:t>
      </w:r>
      <w:r>
        <w:rPr>
          <w:rFonts w:hint="eastAsia" w:ascii="仿宋" w:hAnsi="仿宋" w:cs="仿宋"/>
          <w:lang w:val="en-US" w:eastAsia="zh-CN"/>
        </w:rPr>
        <w:t>立足岗位职责</w:t>
      </w:r>
      <w:r>
        <w:rPr>
          <w:rFonts w:hint="eastAsia" w:ascii="仿宋" w:hAnsi="仿宋" w:eastAsia="仿宋" w:cs="仿宋"/>
          <w:lang w:val="en-US" w:eastAsia="zh-CN"/>
        </w:rPr>
        <w:t>，依据相关最新法律条文以及能源局</w:t>
      </w:r>
      <w:r>
        <w:rPr>
          <w:rFonts w:hint="eastAsia" w:ascii="仿宋" w:hAnsi="仿宋" w:cs="仿宋"/>
          <w:lang w:val="en-US" w:eastAsia="zh-CN"/>
        </w:rPr>
        <w:t>“</w:t>
      </w:r>
      <w:r>
        <w:rPr>
          <w:rFonts w:hint="eastAsia" w:ascii="仿宋" w:hAnsi="仿宋" w:eastAsia="仿宋" w:cs="仿宋"/>
          <w:lang w:val="en-US" w:eastAsia="zh-CN"/>
        </w:rPr>
        <w:t>三定</w:t>
      </w:r>
      <w:r>
        <w:rPr>
          <w:rFonts w:hint="eastAsia" w:ascii="仿宋" w:hAnsi="仿宋" w:cs="仿宋"/>
          <w:lang w:val="en-US" w:eastAsia="zh-CN"/>
        </w:rPr>
        <w:t>”</w:t>
      </w:r>
      <w:r>
        <w:rPr>
          <w:rFonts w:hint="eastAsia" w:ascii="仿宋" w:hAnsi="仿宋" w:eastAsia="仿宋" w:cs="仿宋"/>
          <w:lang w:val="en-US" w:eastAsia="zh-CN"/>
        </w:rPr>
        <w:t>方案赋予职能进行权责清单编制，</w:t>
      </w:r>
      <w:r>
        <w:rPr>
          <w:rFonts w:hint="eastAsia" w:ascii="仿宋" w:hAnsi="仿宋" w:cs="仿宋"/>
          <w:lang w:val="en-US" w:eastAsia="zh-CN"/>
        </w:rPr>
        <w:t>形成</w:t>
      </w:r>
      <w:r>
        <w:rPr>
          <w:rFonts w:hint="eastAsia" w:ascii="仿宋" w:hAnsi="仿宋" w:cs="仿宋"/>
          <w:sz w:val="32"/>
          <w:szCs w:val="32"/>
          <w:lang w:val="en-US" w:eastAsia="zh-CN"/>
        </w:rPr>
        <w:t>“法无授权不可为、法定职责必须为”的清单化管理，确保权力事项“清单之外无权力”</w:t>
      </w:r>
      <w:r>
        <w:rPr>
          <w:rFonts w:hint="eastAsia" w:ascii="仿宋" w:hAnsi="仿宋" w:eastAsia="仿宋" w:cs="仿宋"/>
          <w:sz w:val="32"/>
          <w:szCs w:val="32"/>
          <w:lang w:val="en-US" w:eastAsia="zh-CN"/>
        </w:rPr>
        <w:t>。</w:t>
      </w:r>
      <w:r>
        <w:rPr>
          <w:rFonts w:hint="eastAsia" w:ascii="仿宋" w:hAnsi="仿宋" w:cs="仿宋"/>
          <w:sz w:val="32"/>
          <w:szCs w:val="32"/>
          <w:lang w:val="en-US" w:eastAsia="zh-CN"/>
        </w:rPr>
        <w:t>二是严格规范执法行为，</w:t>
      </w:r>
      <w:r>
        <w:rPr>
          <w:rFonts w:hint="eastAsia" w:ascii="仿宋" w:hAnsi="仿宋" w:eastAsia="仿宋" w:cs="仿宋"/>
          <w:sz w:val="32"/>
          <w:szCs w:val="32"/>
          <w:lang w:val="en-US" w:eastAsia="zh-CN"/>
        </w:rPr>
        <w:t>建立入企行政检查信息公告制度，业务股室开展入企检查时必须在企业明显场所张贴能源企业行政执法监督举报公告，并严格执行派遣审批单、现场检查方案、廉政建设监督卡</w:t>
      </w:r>
      <w:r>
        <w:rPr>
          <w:rFonts w:hint="eastAsia" w:ascii="仿宋" w:hAnsi="仿宋" w:cs="仿宋"/>
          <w:sz w:val="32"/>
          <w:szCs w:val="32"/>
          <w:lang w:val="en-US" w:eastAsia="zh-CN"/>
        </w:rPr>
        <w:t>的</w:t>
      </w:r>
      <w:r>
        <w:rPr>
          <w:rFonts w:hint="eastAsia" w:ascii="仿宋" w:hAnsi="仿宋" w:eastAsia="仿宋" w:cs="仿宋"/>
          <w:sz w:val="32"/>
          <w:szCs w:val="32"/>
          <w:lang w:val="en-US" w:eastAsia="zh-CN"/>
        </w:rPr>
        <w:t>“三单派遣”制度，坚持</w:t>
      </w:r>
      <w:r>
        <w:rPr>
          <w:rFonts w:hint="default" w:ascii="仿宋" w:hAnsi="仿宋" w:eastAsia="仿宋" w:cs="仿宋"/>
          <w:sz w:val="32"/>
          <w:szCs w:val="32"/>
          <w:lang w:val="en-US" w:eastAsia="zh-CN"/>
        </w:rPr>
        <w:t>“一事一审核”，从源头</w:t>
      </w:r>
      <w:r>
        <w:rPr>
          <w:rFonts w:hint="eastAsia" w:ascii="仿宋" w:hAnsi="仿宋" w:cs="仿宋"/>
          <w:sz w:val="32"/>
          <w:szCs w:val="32"/>
          <w:lang w:val="en-US" w:eastAsia="zh-CN"/>
        </w:rPr>
        <w:t>规范执法行为</w:t>
      </w:r>
      <w:r>
        <w:rPr>
          <w:rFonts w:hint="eastAsia" w:ascii="仿宋" w:hAnsi="仿宋" w:eastAsia="仿宋" w:cs="仿宋"/>
          <w:sz w:val="32"/>
          <w:szCs w:val="32"/>
          <w:lang w:val="en-US" w:eastAsia="zh-CN"/>
        </w:rPr>
        <w:t>。</w:t>
      </w:r>
      <w:r>
        <w:rPr>
          <w:rFonts w:hint="eastAsia" w:ascii="仿宋" w:hAnsi="仿宋" w:cs="仿宋"/>
          <w:sz w:val="32"/>
          <w:szCs w:val="32"/>
          <w:lang w:val="en-US" w:eastAsia="zh-CN"/>
        </w:rPr>
        <w:t>三是严格落实重大行政决策合法性审查、重大行政决策集体讨论、规范性文件报备以及行政检查信息公开公示等制度。同时，聘请法律顾问参与重大行政决策和规范性文件的合法性审查工作。</w:t>
      </w:r>
    </w:p>
    <w:p w14:paraId="26114DB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楷体_GB2312" w:eastAsia="楷体_GB2312"/>
          <w:sz w:val="32"/>
          <w:szCs w:val="32"/>
        </w:rPr>
      </w:pPr>
      <w:r>
        <w:rPr>
          <w:rFonts w:hint="eastAsia" w:ascii="楷体" w:hAnsi="楷体" w:eastAsia="楷体" w:cs="楷体"/>
          <w:sz w:val="32"/>
          <w:szCs w:val="32"/>
          <w:lang w:val="en-US" w:eastAsia="zh-CN"/>
        </w:rPr>
        <w:t>（三）加强法治宣传教育，提升普法实效和影响</w:t>
      </w:r>
    </w:p>
    <w:p w14:paraId="0BCA9CE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楷体_GB2312" w:eastAsia="楷体_GB2312"/>
          <w:sz w:val="32"/>
          <w:szCs w:val="32"/>
          <w:lang w:val="en-US" w:eastAsia="zh-CN"/>
        </w:rPr>
      </w:pPr>
      <w:r>
        <w:rPr>
          <w:rFonts w:hint="eastAsia" w:ascii="仿宋" w:hAnsi="仿宋" w:eastAsia="仿宋" w:cs="仿宋"/>
          <w:sz w:val="32"/>
          <w:szCs w:val="32"/>
          <w:lang w:val="en-US" w:eastAsia="zh-CN"/>
        </w:rPr>
        <w:t>深入学习《中华人民共和国宪法》，宣传依宪治国、依宪执政理念，宣传宪法确立的基本原则、国家根本制度和根本任务，通过“</w:t>
      </w:r>
      <w:r>
        <w:rPr>
          <w:rFonts w:hint="eastAsia" w:ascii="仿宋" w:hAnsi="仿宋" w:cs="仿宋"/>
          <w:sz w:val="32"/>
          <w:szCs w:val="32"/>
          <w:lang w:val="en-US" w:eastAsia="zh-CN"/>
        </w:rPr>
        <w:t>12·4</w:t>
      </w:r>
      <w:r>
        <w:rPr>
          <w:rFonts w:hint="eastAsia" w:ascii="仿宋" w:hAnsi="仿宋" w:eastAsia="仿宋" w:cs="仿宋"/>
          <w:sz w:val="32"/>
          <w:szCs w:val="32"/>
          <w:lang w:val="en-US" w:eastAsia="zh-CN"/>
        </w:rPr>
        <w:t>”宪法宣传日组织全体干部职工宣誓，弘扬宪法精神，维护宪法权威。加强能源行业法律法规宣传</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利用“节能宣传周</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安全生产月”活动，通过摆放展板、发放宣传页、安全用电宣传册等方式，向社会普及能源行业法律法规，提高社会各界对能源行业法律法规的认识。</w:t>
      </w:r>
    </w:p>
    <w:p w14:paraId="7FF3FFD6">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二、推进法治政府建设存在的不足和原因</w:t>
      </w:r>
    </w:p>
    <w:p w14:paraId="7F4BE887">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一是</w:t>
      </w:r>
      <w:r>
        <w:rPr>
          <w:rFonts w:hint="eastAsia" w:ascii="仿宋" w:hAnsi="仿宋" w:cs="仿宋"/>
          <w:sz w:val="32"/>
          <w:szCs w:val="32"/>
          <w:lang w:val="en-US" w:eastAsia="zh-CN"/>
        </w:rPr>
        <w:t>部分</w:t>
      </w:r>
      <w:r>
        <w:rPr>
          <w:rFonts w:hint="eastAsia" w:ascii="仿宋" w:hAnsi="仿宋" w:eastAsia="仿宋" w:cs="仿宋"/>
          <w:sz w:val="32"/>
          <w:szCs w:val="32"/>
        </w:rPr>
        <w:t>执法人员的依法行政理念、行政执法素质有待提高。二是执法人员偏少。我局目前只有5名行政编制人员申领了执法证，其余事业编制人员均没有。三是法治工作队伍建设还有待提升，专业性有待提高。</w:t>
      </w:r>
    </w:p>
    <w:p w14:paraId="62C7EBEC">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三、党政</w:t>
      </w:r>
      <w:r>
        <w:rPr>
          <w:rFonts w:hint="eastAsia" w:ascii="黑体" w:hAnsi="黑体" w:eastAsia="黑体"/>
          <w:sz w:val="32"/>
          <w:szCs w:val="32"/>
          <w:lang w:val="en-US" w:eastAsia="zh-CN"/>
        </w:rPr>
        <w:t>主要负责人</w:t>
      </w:r>
      <w:r>
        <w:rPr>
          <w:rFonts w:hint="eastAsia" w:ascii="黑体" w:hAnsi="黑体" w:eastAsia="黑体"/>
          <w:sz w:val="32"/>
          <w:szCs w:val="32"/>
        </w:rPr>
        <w:t>履行</w:t>
      </w:r>
      <w:r>
        <w:rPr>
          <w:rFonts w:hint="eastAsia" w:ascii="黑体" w:hAnsi="黑体" w:eastAsia="黑体"/>
          <w:sz w:val="32"/>
          <w:szCs w:val="32"/>
          <w:lang w:val="en-US" w:eastAsia="zh-CN"/>
        </w:rPr>
        <w:t>推进</w:t>
      </w:r>
      <w:r>
        <w:rPr>
          <w:rFonts w:hint="eastAsia" w:ascii="黑体" w:hAnsi="黑体" w:eastAsia="黑体"/>
          <w:sz w:val="32"/>
          <w:szCs w:val="32"/>
        </w:rPr>
        <w:t>法治建设第一责任人职责</w:t>
      </w:r>
      <w:r>
        <w:rPr>
          <w:rFonts w:hint="eastAsia" w:ascii="黑体" w:hAnsi="黑体" w:eastAsia="黑体"/>
          <w:sz w:val="32"/>
          <w:szCs w:val="32"/>
          <w:lang w:val="en-US" w:eastAsia="zh-CN"/>
        </w:rPr>
        <w:t>和加强法治政府建设的</w:t>
      </w:r>
      <w:r>
        <w:rPr>
          <w:rFonts w:hint="eastAsia" w:ascii="黑体" w:hAnsi="黑体" w:eastAsia="黑体"/>
          <w:sz w:val="32"/>
          <w:szCs w:val="32"/>
        </w:rPr>
        <w:t>情况</w:t>
      </w:r>
    </w:p>
    <w:p w14:paraId="725CF94B">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是局党组书记、局长严格履行推进法治建设第一责任人职责，强化组织领导，对法治建设重要工作亲自部署、重大问题亲自过问、重点环节亲自协调、重要任务亲自督办，</w:t>
      </w:r>
      <w:r>
        <w:rPr>
          <w:rFonts w:hint="eastAsia" w:ascii="仿宋" w:hAnsi="仿宋" w:eastAsia="仿宋" w:cs="仿宋"/>
          <w:sz w:val="32"/>
          <w:szCs w:val="32"/>
          <w:lang w:eastAsia="zh-CN"/>
        </w:rPr>
        <w:t>确保</w:t>
      </w:r>
      <w:r>
        <w:rPr>
          <w:rFonts w:hint="eastAsia" w:ascii="仿宋" w:hAnsi="仿宋" w:eastAsia="仿宋" w:cs="仿宋"/>
          <w:sz w:val="32"/>
          <w:szCs w:val="32"/>
        </w:rPr>
        <w:t>各项工作纳入法治化轨道。</w:t>
      </w:r>
    </w:p>
    <w:p w14:paraId="5B2D9178">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仿宋" w:hAnsi="仿宋" w:eastAsia="仿宋" w:cs="仿宋"/>
          <w:lang w:eastAsia="zh-CN"/>
        </w:rPr>
      </w:pPr>
      <w:r>
        <w:rPr>
          <w:rFonts w:hint="eastAsia" w:ascii="仿宋" w:hAnsi="仿宋" w:eastAsia="仿宋" w:cs="仿宋"/>
          <w:sz w:val="32"/>
          <w:szCs w:val="32"/>
          <w:lang w:val="en-US" w:eastAsia="zh-CN"/>
        </w:rPr>
        <w:t>二是强化组织建设与理论学习，</w:t>
      </w:r>
      <w:r>
        <w:rPr>
          <w:rFonts w:hint="eastAsia" w:ascii="仿宋" w:hAnsi="仿宋" w:cs="仿宋"/>
          <w:sz w:val="32"/>
          <w:szCs w:val="32"/>
          <w:lang w:val="en-US" w:eastAsia="zh-CN"/>
        </w:rPr>
        <w:t>带头研读法治建设相关文件，</w:t>
      </w:r>
      <w:r>
        <w:rPr>
          <w:rFonts w:hint="eastAsia" w:ascii="仿宋" w:hAnsi="仿宋" w:eastAsia="仿宋" w:cs="仿宋"/>
          <w:sz w:val="32"/>
          <w:szCs w:val="32"/>
          <w:lang w:val="en-US" w:eastAsia="zh-CN"/>
        </w:rPr>
        <w:t>定期召开局党组理论学习中心组学习会、</w:t>
      </w:r>
      <w:r>
        <w:rPr>
          <w:rFonts w:hint="eastAsia" w:ascii="仿宋" w:hAnsi="仿宋" w:cs="仿宋"/>
          <w:sz w:val="32"/>
          <w:szCs w:val="32"/>
          <w:lang w:val="en-US" w:eastAsia="zh-CN"/>
        </w:rPr>
        <w:t>党组</w:t>
      </w:r>
      <w:r>
        <w:rPr>
          <w:rFonts w:hint="eastAsia" w:ascii="仿宋" w:hAnsi="仿宋" w:eastAsia="仿宋" w:cs="仿宋"/>
          <w:sz w:val="32"/>
          <w:szCs w:val="32"/>
          <w:lang w:val="en-US" w:eastAsia="zh-CN"/>
        </w:rPr>
        <w:t>会议以及</w:t>
      </w:r>
      <w:r>
        <w:rPr>
          <w:rFonts w:hint="eastAsia" w:ascii="仿宋" w:hAnsi="仿宋" w:cs="仿宋"/>
          <w:sz w:val="32"/>
          <w:szCs w:val="32"/>
          <w:lang w:val="en-US" w:eastAsia="zh-CN"/>
        </w:rPr>
        <w:t>局务</w:t>
      </w:r>
      <w:r>
        <w:rPr>
          <w:rFonts w:hint="eastAsia" w:ascii="仿宋" w:hAnsi="仿宋" w:eastAsia="仿宋" w:cs="仿宋"/>
          <w:sz w:val="32"/>
          <w:szCs w:val="32"/>
          <w:lang w:val="en-US" w:eastAsia="zh-CN"/>
        </w:rPr>
        <w:t>会议，带头学习习近平法治思想，传达重要决策、决定和重要工作部署，将习近平法治思想全面贯彻落实到能源工作的各领域全过程。</w:t>
      </w:r>
    </w:p>
    <w:p w14:paraId="157B41F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三是</w:t>
      </w:r>
      <w:r>
        <w:rPr>
          <w:rFonts w:hint="eastAsia" w:ascii="仿宋" w:hAnsi="仿宋" w:cs="仿宋"/>
          <w:sz w:val="32"/>
          <w:szCs w:val="32"/>
          <w:lang w:val="en-US" w:eastAsia="zh-CN"/>
        </w:rPr>
        <w:t>主持</w:t>
      </w:r>
      <w:r>
        <w:t>制定年度法治工作计划，将法治建设成效纳入</w:t>
      </w:r>
      <w:r>
        <w:rPr>
          <w:rFonts w:hint="eastAsia"/>
          <w:lang w:val="en-US" w:eastAsia="zh-CN"/>
        </w:rPr>
        <w:t>股室年度</w:t>
      </w:r>
      <w:r>
        <w:t>考核</w:t>
      </w:r>
      <w:r>
        <w:rPr>
          <w:rFonts w:hint="eastAsia"/>
          <w:lang w:val="en-US" w:eastAsia="zh-CN"/>
        </w:rPr>
        <w:t>工作</w:t>
      </w:r>
      <w:r>
        <w:t>，推动形成</w:t>
      </w:r>
      <w:r>
        <w:rPr>
          <w:rFonts w:hint="eastAsia"/>
          <w:lang w:eastAsia="zh-CN"/>
        </w:rPr>
        <w:t>“</w:t>
      </w:r>
      <w:r>
        <w:t>一把手负总责、分管领导具体抓、业务</w:t>
      </w:r>
      <w:r>
        <w:rPr>
          <w:rFonts w:hint="eastAsia"/>
          <w:lang w:val="en-US" w:eastAsia="zh-CN"/>
        </w:rPr>
        <w:t>股室</w:t>
      </w:r>
      <w:r>
        <w:t>协同推进</w:t>
      </w:r>
      <w:r>
        <w:rPr>
          <w:rFonts w:hint="eastAsia"/>
          <w:lang w:eastAsia="zh-CN"/>
        </w:rPr>
        <w:t>”</w:t>
      </w:r>
      <w:r>
        <w:t>的法治工作格局，确保法治政府建设各项任务在能源领域落地见效，为能源高质量发展提供坚实的法治保障。</w:t>
      </w:r>
    </w:p>
    <w:p w14:paraId="71A61256">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仿宋" w:hAnsi="仿宋" w:cs="仿宋"/>
          <w:sz w:val="32"/>
          <w:szCs w:val="32"/>
          <w:lang w:val="en-US" w:eastAsia="zh-CN"/>
        </w:rPr>
      </w:pPr>
      <w:r>
        <w:rPr>
          <w:rFonts w:hint="eastAsia" w:ascii="黑体" w:hAnsi="黑体" w:eastAsia="黑体"/>
          <w:sz w:val="32"/>
          <w:szCs w:val="32"/>
          <w:lang w:val="en-US" w:eastAsia="zh-CN"/>
        </w:rPr>
        <w:t>四、本地区、本部门履行法院生效裁判情况</w:t>
      </w:r>
    </w:p>
    <w:p w14:paraId="5AC849F5">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default" w:ascii="仿宋" w:hAnsi="仿宋" w:cs="仿宋"/>
          <w:sz w:val="32"/>
          <w:szCs w:val="32"/>
          <w:lang w:val="en-US" w:eastAsia="zh-CN"/>
        </w:rPr>
      </w:pPr>
      <w:r>
        <w:rPr>
          <w:rFonts w:hint="default" w:ascii="仿宋" w:hAnsi="仿宋" w:cs="仿宋"/>
          <w:sz w:val="32"/>
          <w:szCs w:val="32"/>
          <w:lang w:val="en-US" w:eastAsia="zh-CN"/>
        </w:rPr>
        <w:t>2025年4月28日，长治市中级人民法院对我局上诉</w:t>
      </w:r>
      <w:r>
        <w:rPr>
          <w:rFonts w:hint="eastAsia" w:ascii="仿宋" w:hAnsi="仿宋" w:cs="仿宋"/>
          <w:sz w:val="32"/>
          <w:szCs w:val="32"/>
          <w:lang w:val="en-US" w:eastAsia="zh-CN"/>
        </w:rPr>
        <w:t>案件</w:t>
      </w:r>
      <w:r>
        <w:rPr>
          <w:rFonts w:hint="default" w:ascii="仿宋" w:hAnsi="仿宋" w:cs="仿宋"/>
          <w:sz w:val="32"/>
          <w:szCs w:val="32"/>
          <w:lang w:val="en-US" w:eastAsia="zh-CN"/>
        </w:rPr>
        <w:t>作出终审判决</w:t>
      </w:r>
      <w:r>
        <w:rPr>
          <w:rFonts w:hint="eastAsia" w:ascii="仿宋" w:hAnsi="仿宋" w:cs="仿宋"/>
          <w:sz w:val="32"/>
          <w:szCs w:val="32"/>
          <w:lang w:val="en-US" w:eastAsia="zh-CN"/>
        </w:rPr>
        <w:t>，</w:t>
      </w:r>
      <w:r>
        <w:rPr>
          <w:rFonts w:hint="default" w:ascii="仿宋" w:hAnsi="仿宋" w:cs="仿宋"/>
          <w:sz w:val="32"/>
          <w:szCs w:val="32"/>
          <w:lang w:val="en-US" w:eastAsia="zh-CN"/>
        </w:rPr>
        <w:t>根据该生效判决，我局已</w:t>
      </w:r>
      <w:r>
        <w:rPr>
          <w:rFonts w:hint="eastAsia" w:ascii="仿宋" w:hAnsi="仿宋" w:cs="仿宋"/>
          <w:sz w:val="32"/>
          <w:szCs w:val="32"/>
          <w:lang w:val="en-US" w:eastAsia="zh-CN"/>
        </w:rPr>
        <w:t>依法</w:t>
      </w:r>
      <w:r>
        <w:rPr>
          <w:rFonts w:hint="default" w:ascii="仿宋" w:hAnsi="仿宋" w:cs="仿宋"/>
          <w:sz w:val="32"/>
          <w:szCs w:val="32"/>
          <w:lang w:val="en-US" w:eastAsia="zh-CN"/>
        </w:rPr>
        <w:t>撤销此前对元森建设管理有限公司长治第二分公司作出的（长上）能源罚〔2024〕0303号《行政处罚决定书》，并依照《建设工程安全生产管理条例》（国务院令第393号）第五十七条规定，重新对该公司作出（长上）能源罚〔2025〕0601号《行政处罚决定书》。这一过程体现了我局自觉接受司法监督、坚持有错必纠的依法行政态度，是持续深化法治政府建设、不断提升行政执法规范化水平的具体实践。我局将以本案为契机，进一步牢固树立法治思维，严格规范公正文明执法，切实将法治原则贯穿于履行能源行业监管职责的全过程。</w:t>
      </w:r>
    </w:p>
    <w:p w14:paraId="3F9903D5">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五、2026年推进法治政府建设的主要安排</w:t>
      </w:r>
    </w:p>
    <w:p w14:paraId="7241FFFD">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（一）持续强化法治思想建设，筑牢理论根基</w:t>
      </w:r>
    </w:p>
    <w:p w14:paraId="63269419">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w:t>
      </w:r>
      <w:r>
        <w:rPr>
          <w:rFonts w:hint="eastAsia" w:ascii="仿宋" w:hAnsi="仿宋" w:eastAsia="仿宋" w:cs="仿宋"/>
          <w:sz w:val="32"/>
          <w:szCs w:val="32"/>
          <w:lang w:val="en-US" w:eastAsia="zh-CN"/>
        </w:rPr>
        <w:t>坚持将</w:t>
      </w:r>
      <w:r>
        <w:rPr>
          <w:rFonts w:hint="eastAsia" w:ascii="仿宋" w:hAnsi="仿宋" w:cs="仿宋"/>
          <w:sz w:val="32"/>
          <w:szCs w:val="32"/>
          <w:lang w:val="en-US" w:eastAsia="zh-CN"/>
        </w:rPr>
        <w:t>学法守法</w:t>
      </w:r>
      <w:r>
        <w:rPr>
          <w:rFonts w:hint="eastAsia" w:ascii="仿宋" w:hAnsi="仿宋" w:eastAsia="仿宋" w:cs="仿宋"/>
          <w:sz w:val="32"/>
          <w:szCs w:val="32"/>
          <w:lang w:val="en-US" w:eastAsia="zh-CN"/>
        </w:rPr>
        <w:t>摆在首位，通过多种形式组织</w:t>
      </w:r>
      <w:r>
        <w:rPr>
          <w:rFonts w:hint="eastAsia" w:ascii="仿宋" w:hAnsi="仿宋" w:cs="仿宋"/>
          <w:sz w:val="32"/>
          <w:szCs w:val="32"/>
          <w:lang w:val="en-US" w:eastAsia="zh-CN"/>
        </w:rPr>
        <w:t>机关</w:t>
      </w:r>
      <w:r>
        <w:rPr>
          <w:rFonts w:hint="eastAsia" w:ascii="仿宋" w:hAnsi="仿宋" w:eastAsia="仿宋" w:cs="仿宋"/>
          <w:sz w:val="32"/>
          <w:szCs w:val="32"/>
          <w:lang w:val="en-US" w:eastAsia="zh-CN"/>
        </w:rPr>
        <w:t>干部深入学习贯彻习近平法治思想及相关法律法规，切实增强法治意识，牢固树立依法行政理念，自觉将法治思维运用于能源管理各项工作实践。</w:t>
      </w:r>
    </w:p>
    <w:p w14:paraId="2500A781">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（二）着力加强执法队伍能力建设，弥补力量短板</w:t>
      </w:r>
    </w:p>
    <w:p w14:paraId="162CDD3B">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积极</w:t>
      </w:r>
      <w:r>
        <w:rPr>
          <w:rFonts w:hint="eastAsia" w:ascii="仿宋" w:hAnsi="仿宋" w:cs="仿宋"/>
          <w:sz w:val="32"/>
          <w:szCs w:val="32"/>
          <w:lang w:val="en-US" w:eastAsia="zh-CN"/>
        </w:rPr>
        <w:t>支持和引导新录用公务员申领执法证</w:t>
      </w:r>
      <w:r>
        <w:rPr>
          <w:rFonts w:hint="eastAsia" w:ascii="仿宋" w:hAnsi="仿宋" w:eastAsia="仿宋" w:cs="仿宋"/>
          <w:sz w:val="32"/>
          <w:szCs w:val="32"/>
          <w:lang w:val="en-US" w:eastAsia="zh-CN"/>
        </w:rPr>
        <w:t>，</w:t>
      </w:r>
      <w:r>
        <w:rPr>
          <w:rFonts w:hint="eastAsia" w:ascii="仿宋" w:hAnsi="仿宋" w:cs="仿宋"/>
          <w:sz w:val="32"/>
          <w:szCs w:val="32"/>
          <w:lang w:val="en-US" w:eastAsia="zh-CN"/>
        </w:rPr>
        <w:t>充实</w:t>
      </w:r>
      <w:r>
        <w:rPr>
          <w:rFonts w:hint="eastAsia" w:ascii="仿宋" w:hAnsi="仿宋" w:eastAsia="仿宋" w:cs="仿宋"/>
          <w:sz w:val="32"/>
          <w:szCs w:val="32"/>
          <w:lang w:val="en-US" w:eastAsia="zh-CN"/>
        </w:rPr>
        <w:t>执法人员队伍，并采取内部培养、业务指导等方式，整体提升现有人员的专业素养与执法能力。同时，注重规范执法行为，确保执法过程合法合规。</w:t>
      </w:r>
    </w:p>
    <w:p w14:paraId="012FD40B">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（三）不断完善法治工作机制，提升治理效能</w:t>
      </w:r>
    </w:p>
    <w:p w14:paraId="5C1C6851">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 </w:t>
      </w:r>
      <w:r>
        <w:rPr>
          <w:rFonts w:hint="eastAsia" w:ascii="仿宋" w:hAnsi="仿宋" w:eastAsia="仿宋" w:cs="仿宋"/>
          <w:sz w:val="32"/>
          <w:szCs w:val="32"/>
          <w:lang w:val="en-US" w:eastAsia="zh-CN"/>
        </w:rPr>
        <w:t>进一步健全内部学法用法与普法宣传的常态化机制，强化工作统筹与责任落实。探索完善执法监督与效能评估方式，推动依法行政要求融入日常管理，逐步构建系统、规范、高效的法治工作格局。</w:t>
      </w:r>
    </w:p>
    <w:p w14:paraId="7E1B9A06">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w:t>
      </w:r>
      <w:r>
        <w:rPr>
          <w:rFonts w:hint="eastAsia" w:ascii="楷体" w:hAnsi="楷体" w:eastAsia="楷体"/>
          <w:sz w:val="32"/>
          <w:szCs w:val="32"/>
          <w:lang w:val="en-US" w:eastAsia="zh-CN"/>
        </w:rPr>
        <w:t>持续</w:t>
      </w:r>
      <w:r>
        <w:rPr>
          <w:rFonts w:hint="eastAsia" w:ascii="楷体" w:hAnsi="楷体" w:eastAsia="楷体"/>
          <w:sz w:val="32"/>
          <w:szCs w:val="32"/>
        </w:rPr>
        <w:t>深化法治宣传教育，营造良好氛围</w:t>
      </w:r>
    </w:p>
    <w:p w14:paraId="657C07BD">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强化领导干部法治理念，严格依法办事，认真落实党组学法制度，积极参加各项学法活动。强化依法行政的宣传报道，着力营造浓厚的依法行政氛围。对实施的新</w:t>
      </w:r>
      <w:r>
        <w:rPr>
          <w:rFonts w:hint="eastAsia" w:ascii="仿宋" w:hAnsi="仿宋" w:cs="仿宋"/>
          <w:sz w:val="32"/>
          <w:szCs w:val="32"/>
          <w:lang w:eastAsia="zh-CN"/>
        </w:rPr>
        <w:t>法律法规</w:t>
      </w:r>
      <w:r>
        <w:rPr>
          <w:rFonts w:hint="eastAsia" w:ascii="仿宋" w:hAnsi="仿宋" w:eastAsia="仿宋" w:cs="仿宋"/>
          <w:sz w:val="32"/>
          <w:szCs w:val="32"/>
        </w:rPr>
        <w:t>、规章制度，制定相应的宣传培训方案，并认真抓好贯彻落实。</w:t>
      </w:r>
    </w:p>
    <w:p w14:paraId="132148AB">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六、对全区加强法治政府建设的意见建议</w:t>
      </w:r>
    </w:p>
    <w:p w14:paraId="76BBE68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（一）健全依法决策机制</w:t>
      </w:r>
      <w:r>
        <w:rPr>
          <w:rFonts w:hint="eastAsia" w:ascii="楷体" w:hAnsi="楷体" w:eastAsia="楷体" w:cs="楷体"/>
          <w:sz w:val="32"/>
          <w:szCs w:val="32"/>
          <w:lang w:val="en-US" w:eastAsia="zh-CN"/>
        </w:rPr>
        <w:br w:type="textWrapping"/>
      </w:r>
      <w:r>
        <w:rPr>
          <w:rFonts w:hint="eastAsia" w:ascii="仿宋" w:hAnsi="仿宋" w:cs="仿宋"/>
          <w:sz w:val="32"/>
          <w:szCs w:val="32"/>
          <w:lang w:val="en-US" w:eastAsia="zh-CN"/>
        </w:rPr>
        <w:t xml:space="preserve">    </w:t>
      </w:r>
      <w:r>
        <w:rPr>
          <w:rFonts w:hint="eastAsia" w:ascii="仿宋" w:hAnsi="仿宋" w:eastAsia="仿宋" w:cs="仿宋"/>
        </w:rPr>
        <w:t>建议在全区层面统一重大行政决策程序，明确公众参与、专家论证、风险评估、合法性审查、集体决策为必经环节，并建立决策后评估与纠错机制。</w:t>
      </w:r>
    </w:p>
    <w:p w14:paraId="18E9D26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（二）推行柔性执法模式</w:t>
      </w:r>
      <w:r>
        <w:rPr>
          <w:rFonts w:hint="eastAsia" w:ascii="仿宋" w:hAnsi="仿宋" w:eastAsia="仿宋" w:cs="仿宋"/>
          <w:sz w:val="32"/>
          <w:szCs w:val="32"/>
          <w:lang w:val="en-US" w:eastAsia="zh-CN"/>
        </w:rPr>
        <w:br w:type="textWrapping"/>
      </w:r>
      <w:r>
        <w:rPr>
          <w:rFonts w:hint="eastAsia" w:ascii="仿宋" w:hAnsi="仿宋" w:cs="仿宋"/>
          <w:sz w:val="32"/>
          <w:szCs w:val="32"/>
          <w:lang w:val="en-US" w:eastAsia="zh-CN"/>
        </w:rPr>
        <w:t xml:space="preserve">    </w:t>
      </w:r>
      <w:r>
        <w:rPr>
          <w:rFonts w:hint="eastAsia" w:ascii="仿宋" w:hAnsi="仿宋" w:eastAsia="仿宋" w:cs="仿宋"/>
        </w:rPr>
        <w:t>建议在全区推广包容审慎监管，对轻微违法优先适用劝导、指导等方式，同时严格落实执法全过程记录制度。</w:t>
      </w:r>
    </w:p>
    <w:p w14:paraId="32CB31B5">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仿宋" w:hAnsi="仿宋" w:cs="仿宋"/>
          <w:sz w:val="32"/>
          <w:szCs w:val="32"/>
          <w:lang w:val="en-US" w:eastAsia="zh-CN"/>
        </w:rPr>
      </w:pPr>
      <w:r>
        <w:rPr>
          <w:rFonts w:hint="eastAsia" w:ascii="楷体" w:hAnsi="楷体" w:eastAsia="楷体" w:cs="楷体"/>
          <w:sz w:val="32"/>
          <w:szCs w:val="32"/>
          <w:lang w:val="en-US" w:eastAsia="zh-CN"/>
        </w:rPr>
        <w:t>（三）强化监督与公开</w:t>
      </w:r>
      <w:r>
        <w:rPr>
          <w:rFonts w:hint="eastAsia" w:ascii="仿宋" w:hAnsi="仿宋" w:cs="仿宋"/>
          <w:sz w:val="32"/>
          <w:szCs w:val="32"/>
          <w:lang w:val="en-US" w:eastAsia="zh-CN"/>
        </w:rPr>
        <w:t xml:space="preserve">    </w:t>
      </w:r>
    </w:p>
    <w:p w14:paraId="0CEF21FD">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仿宋" w:hAnsi="仿宋" w:eastAsia="仿宋" w:cs="仿宋"/>
        </w:rPr>
      </w:pPr>
      <w:r>
        <w:rPr>
          <w:rFonts w:hint="eastAsia" w:ascii="仿宋" w:hAnsi="仿宋" w:eastAsia="仿宋" w:cs="仿宋"/>
        </w:rPr>
        <w:t>建议加大政务公开力度，健全行政复议与行政应诉工作机制，探索引入社会评议监督，形成监督合力。</w:t>
      </w:r>
    </w:p>
    <w:p w14:paraId="14D15704">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仿宋" w:hAnsi="仿宋" w:eastAsia="仿宋" w:cs="仿宋"/>
        </w:rPr>
      </w:pPr>
    </w:p>
    <w:p w14:paraId="21CF740A">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仿宋" w:hAnsi="仿宋" w:eastAsia="仿宋" w:cs="仿宋"/>
        </w:rPr>
      </w:pPr>
    </w:p>
    <w:p w14:paraId="486205D3">
      <w:pPr>
        <w:keepNext w:val="0"/>
        <w:keepLines w:val="0"/>
        <w:pageBreakBefore w:val="0"/>
        <w:widowControl w:val="0"/>
        <w:kinsoku/>
        <w:wordWrap/>
        <w:overflowPunct/>
        <w:topLinePunct w:val="0"/>
        <w:autoSpaceDE/>
        <w:autoSpaceDN/>
        <w:adjustRightInd/>
        <w:snapToGrid/>
        <w:spacing w:line="640" w:lineRule="exact"/>
        <w:ind w:firstLine="640" w:firstLineChars="200"/>
        <w:textAlignment w:val="auto"/>
        <w:rPr>
          <w:rFonts w:hint="eastAsia" w:ascii="仿宋" w:hAnsi="仿宋" w:eastAsia="仿宋" w:cs="仿宋"/>
        </w:rPr>
      </w:pPr>
    </w:p>
    <w:p w14:paraId="7147D565">
      <w:pPr>
        <w:keepNext w:val="0"/>
        <w:keepLines w:val="0"/>
        <w:pageBreakBefore w:val="0"/>
        <w:widowControl w:val="0"/>
        <w:kinsoku/>
        <w:wordWrap/>
        <w:overflowPunct/>
        <w:topLinePunct w:val="0"/>
        <w:autoSpaceDE/>
        <w:autoSpaceDN/>
        <w:bidi/>
        <w:adjustRightInd/>
        <w:snapToGrid/>
        <w:spacing w:line="640" w:lineRule="exact"/>
        <w:ind w:firstLine="1280" w:firstLineChars="400"/>
        <w:textAlignment w:val="auto"/>
        <w:rPr>
          <w:rFonts w:hint="default" w:ascii="仿宋" w:hAnsi="仿宋" w:eastAsia="仿宋" w:cs="仿宋"/>
          <w:lang w:val="en-US" w:eastAsia="zh-CN"/>
        </w:rPr>
      </w:pPr>
      <w:r>
        <w:rPr>
          <w:rFonts w:hint="eastAsia" w:ascii="仿宋" w:hAnsi="仿宋" w:cs="仿宋"/>
          <w:lang w:val="en-US" w:eastAsia="zh-CN"/>
        </w:rPr>
        <w:t>长治市上党区能源局</w:t>
      </w:r>
    </w:p>
    <w:p w14:paraId="44B1F9DE">
      <w:pPr>
        <w:keepNext w:val="0"/>
        <w:keepLines w:val="0"/>
        <w:pageBreakBefore w:val="0"/>
        <w:widowControl w:val="0"/>
        <w:kinsoku/>
        <w:wordWrap/>
        <w:overflowPunct/>
        <w:topLinePunct w:val="0"/>
        <w:autoSpaceDE/>
        <w:autoSpaceDN/>
        <w:adjustRightInd/>
        <w:snapToGrid/>
        <w:spacing w:line="640" w:lineRule="exact"/>
        <w:ind w:firstLine="4480" w:firstLineChars="1600"/>
        <w:textAlignment w:val="auto"/>
        <w:rPr>
          <w:rFonts w:hint="eastAsia" w:ascii="仿宋" w:hAnsi="仿宋" w:cs="仿宋"/>
          <w:sz w:val="32"/>
          <w:szCs w:val="32"/>
          <w:lang w:val="en-US" w:eastAsia="zh-CN"/>
        </w:rPr>
      </w:pPr>
      <w:r>
        <w:rPr>
          <w:rFonts w:hint="eastAsia" w:ascii="仿宋" w:hAnsi="仿宋" w:cs="仿宋"/>
          <w:spacing w:val="-20"/>
          <w:sz w:val="32"/>
          <w:szCs w:val="32"/>
          <w:lang w:val="en-US" w:eastAsia="zh-CN"/>
        </w:rPr>
        <w:t>2025年12月24日</w:t>
      </w:r>
    </w:p>
    <w:p w14:paraId="444D6DCB">
      <w:pPr>
        <w:keepNext w:val="0"/>
        <w:keepLines w:val="0"/>
        <w:pageBreakBefore w:val="0"/>
        <w:widowControl w:val="0"/>
        <w:kinsoku/>
        <w:wordWrap/>
        <w:overflowPunct/>
        <w:topLinePunct w:val="0"/>
        <w:autoSpaceDE/>
        <w:autoSpaceDN/>
        <w:adjustRightInd/>
        <w:snapToGrid/>
        <w:spacing w:line="640" w:lineRule="exact"/>
        <w:ind w:firstLine="4480" w:firstLineChars="1400"/>
        <w:textAlignment w:val="auto"/>
        <w:rPr>
          <w:rFonts w:hint="eastAsia" w:ascii="仿宋" w:hAnsi="仿宋" w:cs="仿宋"/>
          <w:sz w:val="32"/>
          <w:szCs w:val="32"/>
          <w:lang w:val="en-US" w:eastAsia="zh-CN"/>
        </w:rPr>
      </w:pPr>
    </w:p>
    <w:p w14:paraId="1C000849">
      <w:pPr>
        <w:keepNext w:val="0"/>
        <w:keepLines w:val="0"/>
        <w:pageBreakBefore w:val="0"/>
        <w:widowControl w:val="0"/>
        <w:kinsoku/>
        <w:wordWrap/>
        <w:overflowPunct/>
        <w:topLinePunct w:val="0"/>
        <w:autoSpaceDE/>
        <w:autoSpaceDN/>
        <w:adjustRightInd/>
        <w:snapToGrid/>
        <w:spacing w:line="640" w:lineRule="exact"/>
        <w:ind w:firstLine="4480" w:firstLineChars="1400"/>
        <w:textAlignment w:val="auto"/>
        <w:rPr>
          <w:rFonts w:hint="eastAsia" w:ascii="仿宋" w:hAnsi="仿宋" w:cs="仿宋"/>
          <w:sz w:val="32"/>
          <w:szCs w:val="32"/>
          <w:lang w:val="en-US" w:eastAsia="zh-CN"/>
        </w:rPr>
      </w:pPr>
    </w:p>
    <w:p w14:paraId="43CEDECD">
      <w:pPr>
        <w:keepNext w:val="0"/>
        <w:keepLines w:val="0"/>
        <w:pageBreakBefore w:val="0"/>
        <w:widowControl w:val="0"/>
        <w:kinsoku/>
        <w:wordWrap/>
        <w:overflowPunct/>
        <w:topLinePunct w:val="0"/>
        <w:autoSpaceDE/>
        <w:autoSpaceDN/>
        <w:adjustRightInd/>
        <w:snapToGrid/>
        <w:spacing w:line="640" w:lineRule="exact"/>
        <w:ind w:firstLine="4480" w:firstLineChars="1400"/>
        <w:textAlignment w:val="auto"/>
        <w:rPr>
          <w:rFonts w:hint="eastAsia" w:ascii="仿宋" w:hAnsi="仿宋" w:cs="仿宋"/>
          <w:sz w:val="32"/>
          <w:szCs w:val="32"/>
          <w:lang w:val="en-US" w:eastAsia="zh-CN"/>
        </w:rPr>
      </w:pPr>
    </w:p>
    <w:p w14:paraId="2B3AFCB4">
      <w:pPr>
        <w:keepNext w:val="0"/>
        <w:keepLines w:val="0"/>
        <w:pageBreakBefore w:val="0"/>
        <w:widowControl w:val="0"/>
        <w:kinsoku/>
        <w:wordWrap/>
        <w:overflowPunct/>
        <w:topLinePunct w:val="0"/>
        <w:autoSpaceDE/>
        <w:autoSpaceDN/>
        <w:adjustRightInd/>
        <w:snapToGrid/>
        <w:spacing w:line="640" w:lineRule="exact"/>
        <w:ind w:firstLine="4480" w:firstLineChars="1400"/>
        <w:textAlignment w:val="auto"/>
        <w:rPr>
          <w:rFonts w:hint="eastAsia" w:ascii="仿宋" w:hAnsi="仿宋" w:cs="仿宋"/>
          <w:sz w:val="32"/>
          <w:szCs w:val="32"/>
          <w:lang w:val="en-US" w:eastAsia="zh-CN"/>
        </w:rPr>
      </w:pPr>
    </w:p>
    <w:p w14:paraId="0E4CA6F4">
      <w:pPr>
        <w:keepNext w:val="0"/>
        <w:keepLines w:val="0"/>
        <w:pageBreakBefore w:val="0"/>
        <w:widowControl w:val="0"/>
        <w:kinsoku/>
        <w:wordWrap/>
        <w:overflowPunct/>
        <w:topLinePunct w:val="0"/>
        <w:autoSpaceDE/>
        <w:autoSpaceDN/>
        <w:bidi w:val="0"/>
        <w:adjustRightInd/>
        <w:snapToGrid/>
        <w:spacing w:line="400" w:lineRule="exact"/>
        <w:ind w:firstLine="4480" w:firstLineChars="1400"/>
        <w:textAlignment w:val="auto"/>
        <w:rPr>
          <w:rFonts w:hint="eastAsia" w:ascii="仿宋" w:hAnsi="仿宋" w:cs="仿宋"/>
          <w:sz w:val="32"/>
          <w:szCs w:val="32"/>
          <w:lang w:val="en-US" w:eastAsia="zh-CN"/>
        </w:rPr>
      </w:pPr>
    </w:p>
    <w:p w14:paraId="0C08869C">
      <w:pPr>
        <w:keepNext w:val="0"/>
        <w:keepLines w:val="0"/>
        <w:pageBreakBefore w:val="0"/>
        <w:widowControl w:val="0"/>
        <w:kinsoku/>
        <w:wordWrap/>
        <w:overflowPunct/>
        <w:topLinePunct w:val="0"/>
        <w:autoSpaceDE/>
        <w:autoSpaceDN/>
        <w:bidi w:val="0"/>
        <w:adjustRightInd/>
        <w:snapToGrid/>
        <w:spacing w:line="400" w:lineRule="exact"/>
        <w:ind w:firstLine="4480" w:firstLineChars="1400"/>
        <w:textAlignment w:val="auto"/>
        <w:rPr>
          <w:rFonts w:hint="eastAsia" w:ascii="仿宋" w:hAnsi="仿宋" w:cs="仿宋"/>
          <w:sz w:val="32"/>
          <w:szCs w:val="32"/>
          <w:lang w:val="en-US" w:eastAsia="zh-CN"/>
        </w:rPr>
      </w:pPr>
    </w:p>
    <w:p w14:paraId="0A325B75">
      <w:pPr>
        <w:keepNext w:val="0"/>
        <w:keepLines w:val="0"/>
        <w:pageBreakBefore w:val="0"/>
        <w:widowControl w:val="0"/>
        <w:kinsoku/>
        <w:wordWrap/>
        <w:overflowPunct/>
        <w:topLinePunct w:val="0"/>
        <w:autoSpaceDE/>
        <w:autoSpaceDN/>
        <w:bidi w:val="0"/>
        <w:adjustRightInd/>
        <w:snapToGrid/>
        <w:spacing w:line="400" w:lineRule="exact"/>
        <w:ind w:firstLine="4480" w:firstLineChars="1400"/>
        <w:textAlignment w:val="auto"/>
        <w:rPr>
          <w:rFonts w:hint="eastAsia" w:ascii="仿宋" w:hAnsi="仿宋" w:cs="仿宋"/>
          <w:sz w:val="32"/>
          <w:szCs w:val="32"/>
          <w:lang w:val="en-US" w:eastAsia="zh-CN"/>
        </w:rPr>
      </w:pPr>
    </w:p>
    <w:p w14:paraId="2EC625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cs="仿宋"/>
          <w:sz w:val="32"/>
          <w:szCs w:val="32"/>
          <w:lang w:val="en-US" w:eastAsia="zh-CN"/>
        </w:rPr>
      </w:pPr>
    </w:p>
    <w:p w14:paraId="1ED0001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cs="仿宋"/>
          <w:sz w:val="32"/>
          <w:szCs w:val="32"/>
          <w:lang w:val="en-US" w:eastAsia="zh-CN"/>
        </w:rPr>
      </w:pPr>
    </w:p>
    <w:p w14:paraId="22F3644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sz w:val="32"/>
          <w:szCs w:val="32"/>
          <w:lang w:val="en-US" w:eastAsia="zh-CN"/>
        </w:rPr>
      </w:pPr>
    </w:p>
    <w:p w14:paraId="479C49A0">
      <w:pPr>
        <w:keepNext w:val="0"/>
        <w:keepLines w:val="0"/>
        <w:pageBreakBefore w:val="0"/>
        <w:widowControl w:val="0"/>
        <w:numPr>
          <w:ilvl w:val="0"/>
          <w:numId w:val="0"/>
        </w:numPr>
        <w:pBdr>
          <w:top w:val="single" w:color="auto" w:sz="8" w:space="1"/>
          <w:left w:val="none" w:color="auto" w:sz="0" w:space="4"/>
          <w:bottom w:val="single" w:color="auto" w:sz="8" w:space="1"/>
          <w:right w:val="none" w:color="auto" w:sz="0" w:space="4"/>
          <w:between w:val="none" w:color="auto" w:sz="0" w:space="0"/>
        </w:pBdr>
        <w:kinsoku/>
        <w:wordWrap/>
        <w:overflowPunct/>
        <w:topLinePunct w:val="0"/>
        <w:autoSpaceDE/>
        <w:autoSpaceDN/>
        <w:bidi w:val="0"/>
        <w:adjustRightInd/>
        <w:snapToGrid/>
        <w:spacing w:line="400" w:lineRule="exact"/>
        <w:ind w:left="0" w:leftChars="0" w:firstLine="280" w:firstLineChars="100"/>
        <w:jc w:val="both"/>
        <w:textAlignment w:val="auto"/>
        <w:rPr>
          <w:rFonts w:hint="default" w:ascii="仿宋" w:hAnsi="仿宋" w:cs="仿宋"/>
          <w:sz w:val="32"/>
          <w:szCs w:val="32"/>
          <w:lang w:val="en-US" w:eastAsia="zh-CN"/>
        </w:rPr>
      </w:pPr>
      <w:r>
        <w:rPr>
          <w:rFonts w:hint="eastAsia" w:ascii="仿宋" w:hAnsi="仿宋" w:cs="仿宋"/>
          <w:sz w:val="28"/>
          <w:szCs w:val="28"/>
          <w:lang w:val="en-US" w:eastAsia="zh-CN"/>
        </w:rPr>
        <w:t>长治市</w:t>
      </w:r>
      <w:r>
        <w:rPr>
          <w:rFonts w:hint="eastAsia" w:ascii="仿宋" w:hAnsi="仿宋" w:eastAsia="仿宋" w:cs="仿宋"/>
          <w:sz w:val="28"/>
          <w:szCs w:val="28"/>
          <w:lang w:val="en-US" w:eastAsia="zh-CN"/>
        </w:rPr>
        <w:t>上党区能源局综合办公室         202</w:t>
      </w:r>
      <w:r>
        <w:rPr>
          <w:rFonts w:hint="eastAsia" w:ascii="仿宋" w:hAnsi="仿宋" w:cs="仿宋"/>
          <w:sz w:val="28"/>
          <w:szCs w:val="28"/>
          <w:lang w:val="en-US" w:eastAsia="zh-CN"/>
        </w:rPr>
        <w:t>5</w:t>
      </w:r>
      <w:r>
        <w:rPr>
          <w:rFonts w:hint="eastAsia" w:ascii="仿宋" w:hAnsi="仿宋" w:eastAsia="仿宋" w:cs="仿宋"/>
          <w:sz w:val="28"/>
          <w:szCs w:val="28"/>
          <w:lang w:val="en-US" w:eastAsia="zh-CN"/>
        </w:rPr>
        <w:t>年</w:t>
      </w:r>
      <w:r>
        <w:rPr>
          <w:rFonts w:hint="eastAsia" w:ascii="仿宋" w:hAnsi="仿宋" w:cs="仿宋"/>
          <w:sz w:val="28"/>
          <w:szCs w:val="28"/>
          <w:lang w:val="en-US" w:eastAsia="zh-CN"/>
        </w:rPr>
        <w:t>12</w:t>
      </w:r>
      <w:r>
        <w:rPr>
          <w:rFonts w:hint="eastAsia" w:ascii="仿宋" w:hAnsi="仿宋" w:eastAsia="仿宋" w:cs="仿宋"/>
          <w:sz w:val="28"/>
          <w:szCs w:val="28"/>
          <w:lang w:val="en-US" w:eastAsia="zh-CN"/>
        </w:rPr>
        <w:t>月</w:t>
      </w:r>
      <w:r>
        <w:rPr>
          <w:rFonts w:hint="eastAsia" w:ascii="仿宋" w:hAnsi="仿宋" w:cs="仿宋"/>
          <w:sz w:val="28"/>
          <w:szCs w:val="28"/>
          <w:lang w:val="en-US" w:eastAsia="zh-CN"/>
        </w:rPr>
        <w:t>30</w:t>
      </w:r>
      <w:r>
        <w:rPr>
          <w:rFonts w:hint="eastAsia" w:ascii="仿宋" w:hAnsi="仿宋" w:eastAsia="仿宋" w:cs="仿宋"/>
          <w:sz w:val="28"/>
          <w:szCs w:val="28"/>
          <w:lang w:val="en-US" w:eastAsia="zh-CN"/>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0518A4-B0C4-43B1-9349-31C431079B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354D13D-AD3B-4F50-8557-770F584E8921}"/>
  </w:font>
  <w:font w:name="微软雅黑">
    <w:panose1 w:val="020B0503020204020204"/>
    <w:charset w:val="86"/>
    <w:family w:val="auto"/>
    <w:pitch w:val="default"/>
    <w:sig w:usb0="80000287" w:usb1="2ACF3C50" w:usb2="00000016" w:usb3="00000000" w:csb0="0004001F" w:csb1="00000000"/>
    <w:embedRegular r:id="rId3" w:fontKey="{0E8562E0-4CE9-4805-A56D-813C7BB71A2F}"/>
  </w:font>
  <w:font w:name="楷体">
    <w:panose1 w:val="02010609060101010101"/>
    <w:charset w:val="86"/>
    <w:family w:val="auto"/>
    <w:pitch w:val="default"/>
    <w:sig w:usb0="800002BF" w:usb1="38CF7CFA" w:usb2="00000016" w:usb3="00000000" w:csb0="00040001" w:csb1="00000000"/>
    <w:embedRegular r:id="rId4" w:fontKey="{7A722EDE-D0D4-4917-8779-80041EDE0BEC}"/>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5" w:fontKey="{37B39A96-265F-4FF2-8477-5B1EE200F8E5}"/>
  </w:font>
  <w:font w:name="方正仿宋_GB2312">
    <w:panose1 w:val="02000000000000000000"/>
    <w:charset w:val="86"/>
    <w:family w:val="auto"/>
    <w:pitch w:val="default"/>
    <w:sig w:usb0="A00002BF" w:usb1="184F6CFA" w:usb2="00000012" w:usb3="00000000" w:csb0="00040001" w:csb1="00000000"/>
    <w:embedRegular r:id="rId6" w:fontKey="{4F45B509-A778-49CB-B8DD-E0E27FB6B7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A54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56415">
                          <w:pPr>
                            <w:pStyle w:val="2"/>
                            <w:rPr>
                              <w:rFonts w:hint="eastAsia" w:eastAsia="仿宋"/>
                              <w:lang w:val="en-US"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b w:val="0"/>
                              <w:bCs w:val="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756415">
                    <w:pPr>
                      <w:pStyle w:val="2"/>
                      <w:rPr>
                        <w:rFonts w:hint="eastAsia" w:eastAsia="仿宋"/>
                        <w:lang w:val="en-US"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b w:val="0"/>
                        <w:bCs w:val="0"/>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0A12"/>
    <w:rsid w:val="01CC1A40"/>
    <w:rsid w:val="01FB7E5E"/>
    <w:rsid w:val="020E2058"/>
    <w:rsid w:val="02A8425B"/>
    <w:rsid w:val="02C1356F"/>
    <w:rsid w:val="048804E0"/>
    <w:rsid w:val="04FF3EDA"/>
    <w:rsid w:val="0680729D"/>
    <w:rsid w:val="084A7B62"/>
    <w:rsid w:val="08584F0A"/>
    <w:rsid w:val="08DB07BA"/>
    <w:rsid w:val="0ADB0F46"/>
    <w:rsid w:val="0C4C3EA9"/>
    <w:rsid w:val="0C4F1BEB"/>
    <w:rsid w:val="0CB3217A"/>
    <w:rsid w:val="0D674D12"/>
    <w:rsid w:val="0D9339C3"/>
    <w:rsid w:val="0E0B7D94"/>
    <w:rsid w:val="0E1E3623"/>
    <w:rsid w:val="0E3177FA"/>
    <w:rsid w:val="0FC85F3C"/>
    <w:rsid w:val="1032785A"/>
    <w:rsid w:val="10675755"/>
    <w:rsid w:val="11203B56"/>
    <w:rsid w:val="11AC0F46"/>
    <w:rsid w:val="11B147AE"/>
    <w:rsid w:val="12295D32"/>
    <w:rsid w:val="1299596E"/>
    <w:rsid w:val="13BC5DB8"/>
    <w:rsid w:val="14D7452C"/>
    <w:rsid w:val="160C6457"/>
    <w:rsid w:val="1615355E"/>
    <w:rsid w:val="16526560"/>
    <w:rsid w:val="16985F3D"/>
    <w:rsid w:val="185A0968"/>
    <w:rsid w:val="185D2F9A"/>
    <w:rsid w:val="18EA6F23"/>
    <w:rsid w:val="191F64A1"/>
    <w:rsid w:val="19C77265"/>
    <w:rsid w:val="1A1A3838"/>
    <w:rsid w:val="1B216501"/>
    <w:rsid w:val="1B4641B9"/>
    <w:rsid w:val="1B636B19"/>
    <w:rsid w:val="1B8C2514"/>
    <w:rsid w:val="1C3F7586"/>
    <w:rsid w:val="1C672454"/>
    <w:rsid w:val="1E3E73CA"/>
    <w:rsid w:val="1F037DB5"/>
    <w:rsid w:val="1F890B18"/>
    <w:rsid w:val="21007916"/>
    <w:rsid w:val="2191481C"/>
    <w:rsid w:val="22813D29"/>
    <w:rsid w:val="228A0E2F"/>
    <w:rsid w:val="228E4DC3"/>
    <w:rsid w:val="237C10C0"/>
    <w:rsid w:val="239B0E1A"/>
    <w:rsid w:val="246F4781"/>
    <w:rsid w:val="25DF1492"/>
    <w:rsid w:val="26E15CE7"/>
    <w:rsid w:val="27AE736E"/>
    <w:rsid w:val="281318C7"/>
    <w:rsid w:val="299B1B74"/>
    <w:rsid w:val="29AC1FD3"/>
    <w:rsid w:val="2BD575BF"/>
    <w:rsid w:val="2BE92C6F"/>
    <w:rsid w:val="2FDE0867"/>
    <w:rsid w:val="2FF124EE"/>
    <w:rsid w:val="301B57BD"/>
    <w:rsid w:val="302A1EA4"/>
    <w:rsid w:val="3172765E"/>
    <w:rsid w:val="31E06CBE"/>
    <w:rsid w:val="33484B1B"/>
    <w:rsid w:val="34AC732B"/>
    <w:rsid w:val="350E58DE"/>
    <w:rsid w:val="35527ED3"/>
    <w:rsid w:val="369462C9"/>
    <w:rsid w:val="37BD685C"/>
    <w:rsid w:val="385E3406"/>
    <w:rsid w:val="386712D3"/>
    <w:rsid w:val="39513FFD"/>
    <w:rsid w:val="398B5761"/>
    <w:rsid w:val="39A6259B"/>
    <w:rsid w:val="39AD3929"/>
    <w:rsid w:val="3B742225"/>
    <w:rsid w:val="3C2D0D52"/>
    <w:rsid w:val="3D557939"/>
    <w:rsid w:val="3E171CB9"/>
    <w:rsid w:val="3F1735F3"/>
    <w:rsid w:val="3FC90D91"/>
    <w:rsid w:val="41202C33"/>
    <w:rsid w:val="419D0EE7"/>
    <w:rsid w:val="427036EB"/>
    <w:rsid w:val="42925DB2"/>
    <w:rsid w:val="42DB5FA0"/>
    <w:rsid w:val="45322F35"/>
    <w:rsid w:val="4568104C"/>
    <w:rsid w:val="458D2861"/>
    <w:rsid w:val="46DB13AA"/>
    <w:rsid w:val="46F10BCE"/>
    <w:rsid w:val="472D60AA"/>
    <w:rsid w:val="48CA3D62"/>
    <w:rsid w:val="4A590F64"/>
    <w:rsid w:val="4D2717ED"/>
    <w:rsid w:val="5167665C"/>
    <w:rsid w:val="5246001F"/>
    <w:rsid w:val="529E1C09"/>
    <w:rsid w:val="546B1FBF"/>
    <w:rsid w:val="5593012A"/>
    <w:rsid w:val="564E3947"/>
    <w:rsid w:val="56EB5639"/>
    <w:rsid w:val="58B708B7"/>
    <w:rsid w:val="58D72319"/>
    <w:rsid w:val="5B6634E0"/>
    <w:rsid w:val="5D9205BD"/>
    <w:rsid w:val="5DA36C6E"/>
    <w:rsid w:val="5E3140D4"/>
    <w:rsid w:val="5FF23595"/>
    <w:rsid w:val="60481419"/>
    <w:rsid w:val="607E12CC"/>
    <w:rsid w:val="60BF3DBF"/>
    <w:rsid w:val="61815FAE"/>
    <w:rsid w:val="629C074C"/>
    <w:rsid w:val="636D5D54"/>
    <w:rsid w:val="63DB61A0"/>
    <w:rsid w:val="64A84B6A"/>
    <w:rsid w:val="657F540B"/>
    <w:rsid w:val="65FF07B9"/>
    <w:rsid w:val="660758C0"/>
    <w:rsid w:val="66A23F66"/>
    <w:rsid w:val="66C67529"/>
    <w:rsid w:val="6712451C"/>
    <w:rsid w:val="674A63AC"/>
    <w:rsid w:val="68120C78"/>
    <w:rsid w:val="68572B2F"/>
    <w:rsid w:val="68815DFE"/>
    <w:rsid w:val="693370F8"/>
    <w:rsid w:val="69601EB7"/>
    <w:rsid w:val="6A0E36C1"/>
    <w:rsid w:val="6B1523C9"/>
    <w:rsid w:val="6B1A7ED8"/>
    <w:rsid w:val="6B301415"/>
    <w:rsid w:val="6B4E646B"/>
    <w:rsid w:val="6E9A180A"/>
    <w:rsid w:val="72445E78"/>
    <w:rsid w:val="72FA0C86"/>
    <w:rsid w:val="72FD45E2"/>
    <w:rsid w:val="73972979"/>
    <w:rsid w:val="739B4217"/>
    <w:rsid w:val="73B726D3"/>
    <w:rsid w:val="74E41BEE"/>
    <w:rsid w:val="74E76FE8"/>
    <w:rsid w:val="75324707"/>
    <w:rsid w:val="76F31C74"/>
    <w:rsid w:val="770245AD"/>
    <w:rsid w:val="77C17FC5"/>
    <w:rsid w:val="787E01EF"/>
    <w:rsid w:val="799E680F"/>
    <w:rsid w:val="7A3B71D3"/>
    <w:rsid w:val="7AE83ABA"/>
    <w:rsid w:val="7CC16371"/>
    <w:rsid w:val="7D755497"/>
    <w:rsid w:val="7F17671C"/>
    <w:rsid w:val="7F58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customStyle="1" w:styleId="8">
    <w:name w:val="不明显参考1"/>
    <w:basedOn w:val="6"/>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150e6332-ef1d-4863-9847-1ddd4dd2aba6</errorID>
      <errorWord>〔2024〕0303号</errorWord>
      <group>L1_Knowledge</group>
      <groupName>知识性问题</groupName>
      <ability>L2_Knowledge</ability>
      <abilityName>其他知识</abilityName>
      <candidateList>
        <item>〔2024〕303号</item>
      </candidateList>
      <explain>发文字号格式错误。</explain>
      <paraID>5AC849F5</paraID>
      <start>79</start>
      <end>90</end>
      <status>ignored</status>
      <modifiedWord/>
      <trackRevisions>false</trackRevisions>
    </reviewItem>
    <reviewItem>
      <errorID>47a83ad3-64de-4b64-8159-345bf809fbd7</errorID>
      <errorWord>〔2025〕0601号</errorWord>
      <group>L1_Knowledge</group>
      <groupName>知识性问题</groupName>
      <ability>L2_Knowledge</ability>
      <abilityName>其他知识</abilityName>
      <candidateList>
        <item>〔2025〕601号</item>
      </candidateList>
      <explain>发文字号格式错误。</explain>
      <paraID>5AC849F5</paraID>
      <start>151</start>
      <end>162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206-cd0d-4bcd-a245-a6a67029285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2382</Words>
  <Characters>2427</Characters>
  <Lines>0</Lines>
  <Paragraphs>0</Paragraphs>
  <TotalTime>258</TotalTime>
  <ScaleCrop>false</ScaleCrop>
  <LinksUpToDate>false</LinksUpToDate>
  <CharactersWithSpaces>2468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2025-04-17T00:06:00Z</dcterms:created>
  <dc:creator>Administrator</dc:creator>
  <cp:lastModifiedBy>芬达</cp:lastModifiedBy>
  <cp:lastPrinted>2026-01-07T03:02:00Z</cp:lastPrinted>
  <dcterms:modified xsi:type="dcterms:W3CDTF">2026-01-08T07:05:44Z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F2CBD995CCA54DAEB1FC22A75C67747A_12</vt:lpwstr>
  </property>
  <property fmtid="{D5CDD505-2E9C-101B-9397-08002B2CF9AE}" pid="4" name="KSOTemplateDocerSaveRecord">
    <vt:lpwstr>eyJoZGlkIjoiMTVhN2UxY2RlMDVlMmY0YWVlMmQwYmM3ZjJjN2UzYjAiLCJ1c2VySWQiOiIyODg2NzM5NjcifQ==</vt:lpwstr>
  </property>
</Properties>
</file>