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5"/>
        <w:jc w:val="center"/>
        <w:rPr>
          <w:rFonts w:hint="eastAsia"/>
        </w:rPr>
      </w:pPr>
    </w:p>
    <w:p>
      <w:pPr>
        <w:pStyle w:val="35"/>
        <w:jc w:val="center"/>
        <w:rPr>
          <w:rFonts w:hint="eastAsia" w:ascii="宋体" w:hAnsi="宋体" w:eastAsia="宋体"/>
          <w:szCs w:val="36"/>
        </w:rPr>
      </w:pPr>
    </w:p>
    <w:p>
      <w:pPr>
        <w:pStyle w:val="35"/>
        <w:jc w:val="center"/>
        <w:rPr>
          <w:rFonts w:hint="eastAsia" w:ascii="宋体" w:hAnsi="宋体" w:eastAsia="宋体"/>
          <w:b/>
          <w:szCs w:val="36"/>
        </w:rPr>
      </w:pPr>
    </w:p>
    <w:p>
      <w:pPr>
        <w:pStyle w:val="35"/>
        <w:jc w:val="center"/>
        <w:rPr>
          <w:rFonts w:hint="eastAsia" w:ascii="宋体" w:hAnsi="宋体" w:eastAsia="宋体"/>
          <w:b/>
          <w:szCs w:val="36"/>
        </w:rPr>
      </w:pPr>
    </w:p>
    <w:p>
      <w:pPr>
        <w:pStyle w:val="35"/>
        <w:jc w:val="center"/>
        <w:rPr>
          <w:rFonts w:hint="eastAsia" w:ascii="方正小标宋_GBK" w:hAnsi="黑体" w:eastAsia="方正小标宋_GBK"/>
          <w:bCs/>
          <w:sz w:val="52"/>
          <w:szCs w:val="52"/>
        </w:rPr>
      </w:pPr>
      <w:r>
        <w:rPr>
          <w:rFonts w:hint="eastAsia" w:ascii="方正小标宋_GBK" w:hAnsi="黑体" w:eastAsia="方正小标宋_GBK"/>
          <w:bCs/>
          <w:sz w:val="52"/>
          <w:szCs w:val="52"/>
        </w:rPr>
        <w:t>长治市上党区地下空间专项规划</w:t>
      </w:r>
    </w:p>
    <w:p>
      <w:pPr>
        <w:pStyle w:val="35"/>
        <w:jc w:val="center"/>
        <w:rPr>
          <w:rFonts w:hint="eastAsia" w:ascii="方正小标宋_GBK" w:hAnsi="黑体" w:eastAsia="方正小标宋_GBK"/>
          <w:bCs/>
          <w:sz w:val="52"/>
          <w:szCs w:val="52"/>
        </w:rPr>
      </w:pPr>
      <w:r>
        <w:rPr>
          <w:rFonts w:hint="eastAsia" w:ascii="方正小标宋_GBK" w:hAnsi="黑体" w:eastAsia="方正小标宋_GBK"/>
          <w:bCs/>
          <w:sz w:val="52"/>
          <w:szCs w:val="52"/>
        </w:rPr>
        <w:t>（2021-2035年）</w:t>
      </w:r>
    </w:p>
    <w:p>
      <w:pPr>
        <w:pStyle w:val="35"/>
        <w:jc w:val="center"/>
        <w:rPr>
          <w:rFonts w:hint="eastAsia"/>
        </w:rPr>
      </w:pPr>
    </w:p>
    <w:p>
      <w:pPr>
        <w:pStyle w:val="35"/>
        <w:jc w:val="center"/>
        <w:rPr>
          <w:rFonts w:hint="eastAsia" w:ascii="方正小标宋_GBK" w:hAnsi="黑体" w:eastAsia="方正小标宋_GBK"/>
          <w:bCs/>
          <w:sz w:val="52"/>
          <w:szCs w:val="52"/>
        </w:rPr>
      </w:pPr>
    </w:p>
    <w:p>
      <w:pPr>
        <w:pStyle w:val="35"/>
        <w:jc w:val="center"/>
        <w:rPr>
          <w:rFonts w:hint="eastAsia" w:ascii="方正小标宋_GBK" w:hAnsi="黑体" w:eastAsia="方正小标宋_GBK"/>
          <w:bCs/>
          <w:sz w:val="52"/>
          <w:szCs w:val="52"/>
        </w:rPr>
      </w:pPr>
    </w:p>
    <w:p>
      <w:pPr>
        <w:pStyle w:val="35"/>
        <w:jc w:val="center"/>
        <w:rPr>
          <w:rFonts w:ascii="方正小标宋_GBK" w:hAnsi="Times New Roman" w:eastAsia="方正小标宋_GBK"/>
          <w:bCs/>
          <w:sz w:val="48"/>
          <w:szCs w:val="48"/>
        </w:rPr>
      </w:pPr>
      <w:r>
        <w:rPr>
          <w:rFonts w:hint="eastAsia" w:ascii="方正小标宋_GBK" w:hAnsi="Times New Roman" w:eastAsia="方正小标宋_GBK"/>
          <w:bCs/>
          <w:sz w:val="48"/>
          <w:szCs w:val="48"/>
        </w:rPr>
        <w:t>公示稿</w:t>
      </w:r>
    </w:p>
    <w:p>
      <w:pPr>
        <w:pStyle w:val="35"/>
        <w:jc w:val="center"/>
        <w:rPr>
          <w:rFonts w:ascii="方正小标宋_GBK" w:hAnsi="Times New Roman" w:eastAsia="方正小标宋_GBK"/>
          <w:bCs/>
          <w:sz w:val="48"/>
          <w:szCs w:val="48"/>
        </w:rPr>
      </w:pPr>
    </w:p>
    <w:p>
      <w:pPr>
        <w:pStyle w:val="35"/>
        <w:jc w:val="center"/>
        <w:rPr>
          <w:rFonts w:ascii="方正小标宋_GBK" w:hAnsi="Times New Roman" w:eastAsia="方正小标宋_GBK"/>
          <w:bCs/>
          <w:sz w:val="48"/>
          <w:szCs w:val="48"/>
        </w:rPr>
      </w:pPr>
    </w:p>
    <w:p>
      <w:pPr>
        <w:pStyle w:val="35"/>
        <w:jc w:val="center"/>
        <w:rPr>
          <w:rFonts w:ascii="方正小标宋_GBK" w:hAnsi="Times New Roman" w:eastAsia="方正小标宋_GBK"/>
          <w:bCs/>
          <w:sz w:val="48"/>
          <w:szCs w:val="48"/>
        </w:rPr>
      </w:pPr>
    </w:p>
    <w:p>
      <w:pPr>
        <w:pStyle w:val="35"/>
        <w:jc w:val="center"/>
        <w:rPr>
          <w:rFonts w:ascii="方正小标宋_GBK" w:hAnsi="Times New Roman" w:eastAsia="方正小标宋_GBK"/>
          <w:bCs/>
          <w:sz w:val="48"/>
          <w:szCs w:val="48"/>
        </w:rPr>
      </w:pPr>
    </w:p>
    <w:p>
      <w:pPr>
        <w:pStyle w:val="35"/>
        <w:jc w:val="center"/>
        <w:rPr>
          <w:rFonts w:ascii="方正小标宋_GBK" w:hAnsi="Times New Roman" w:eastAsia="方正小标宋_GBK"/>
          <w:bCs/>
          <w:sz w:val="48"/>
          <w:szCs w:val="48"/>
        </w:rPr>
      </w:pPr>
    </w:p>
    <w:p>
      <w:pPr>
        <w:pStyle w:val="35"/>
        <w:jc w:val="center"/>
        <w:rPr>
          <w:rFonts w:ascii="方正小标宋_GBK" w:hAnsi="Times New Roman" w:eastAsia="方正小标宋_GBK"/>
          <w:bCs/>
          <w:sz w:val="48"/>
          <w:szCs w:val="48"/>
        </w:rPr>
      </w:pPr>
    </w:p>
    <w:p>
      <w:pPr>
        <w:pStyle w:val="35"/>
        <w:jc w:val="center"/>
        <w:rPr>
          <w:rFonts w:ascii="方正小标宋_GBK" w:hAnsi="Times New Roman" w:eastAsia="方正小标宋_GBK"/>
          <w:bCs/>
          <w:sz w:val="48"/>
          <w:szCs w:val="48"/>
        </w:rPr>
      </w:pPr>
    </w:p>
    <w:p>
      <w:pPr>
        <w:pStyle w:val="35"/>
        <w:jc w:val="center"/>
        <w:rPr>
          <w:rFonts w:ascii="方正小标宋_GBK" w:hAnsi="Times New Roman" w:eastAsia="方正小标宋_GBK"/>
          <w:bCs/>
          <w:sz w:val="48"/>
          <w:szCs w:val="48"/>
        </w:rPr>
      </w:pPr>
    </w:p>
    <w:p>
      <w:pPr>
        <w:pStyle w:val="35"/>
        <w:jc w:val="center"/>
        <w:rPr>
          <w:rFonts w:ascii="方正小标宋_GBK" w:hAnsi="Times New Roman" w:eastAsia="方正小标宋_GBK"/>
          <w:bCs/>
          <w:szCs w:val="36"/>
        </w:rPr>
      </w:pPr>
      <w:r>
        <w:rPr>
          <w:rFonts w:hint="eastAsia" w:ascii="方正小标宋_GBK" w:hAnsi="Times New Roman" w:eastAsia="方正小标宋_GBK"/>
          <w:bCs/>
          <w:szCs w:val="36"/>
        </w:rPr>
        <w:t>长治市上党区住房和城乡建设局</w:t>
      </w:r>
    </w:p>
    <w:p>
      <w:pPr>
        <w:pStyle w:val="35"/>
        <w:jc w:val="center"/>
        <w:rPr>
          <w:rFonts w:ascii="方正小标宋_GBK" w:hAnsi="Times New Roman" w:eastAsia="方正小标宋_GBK"/>
          <w:bCs/>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r>
        <w:rPr>
          <w:rFonts w:hint="eastAsia" w:ascii="方正小标宋_GBK" w:hAnsi="Times New Roman" w:eastAsia="方正小标宋_GBK"/>
          <w:bCs/>
          <w:szCs w:val="36"/>
        </w:rPr>
        <w:t>2024年7月</w:t>
      </w:r>
    </w:p>
    <w:p>
      <w:pPr>
        <w:pStyle w:val="26"/>
        <w:numPr>
          <w:ilvl w:val="0"/>
          <w:numId w:val="0"/>
        </w:numPr>
        <w:ind w:firstLine="640" w:firstLineChars="200"/>
        <w:rPr>
          <w:rFonts w:hint="eastAsia" w:ascii="黑体" w:hAnsi="黑体" w:eastAsia="黑体" w:cs="黑体"/>
          <w:b w:val="0"/>
          <w:bCs w:val="0"/>
          <w:sz w:val="32"/>
          <w:szCs w:val="32"/>
          <w:lang w:val="zh-CN"/>
        </w:rPr>
      </w:pPr>
      <w:r>
        <w:rPr>
          <w:rFonts w:hint="eastAsia" w:ascii="黑体" w:hAnsi="黑体" w:eastAsia="黑体" w:cs="黑体"/>
          <w:b w:val="0"/>
          <w:bCs w:val="0"/>
          <w:sz w:val="32"/>
          <w:szCs w:val="32"/>
          <w:lang w:val="zh-CN"/>
        </w:rPr>
        <w:t>一、规划背景</w:t>
      </w:r>
    </w:p>
    <w:p>
      <w:pPr>
        <w:keepNext w:val="0"/>
        <w:keepLines w:val="0"/>
        <w:pageBreakBefore w:val="0"/>
        <w:widowControl w:val="0"/>
        <w:kinsoku/>
        <w:wordWrap/>
        <w:overflowPunct/>
        <w:topLinePunct w:val="0"/>
        <w:autoSpaceDE/>
        <w:autoSpaceDN/>
        <w:bidi w:val="0"/>
        <w:adjustRightInd/>
        <w:snapToGrid/>
        <w:spacing w:line="580" w:lineRule="exact"/>
        <w:ind w:firstLine="601"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在生态文明建设的时代背景下，生态优先、集约高效是国土空间规划的主旋律。地下空间作为重要的国土空间资源，对于高效利用土地，构建高质量城市具有重要作用。</w:t>
      </w:r>
    </w:p>
    <w:p>
      <w:pPr>
        <w:keepNext w:val="0"/>
        <w:keepLines w:val="0"/>
        <w:pageBreakBefore w:val="0"/>
        <w:widowControl w:val="0"/>
        <w:kinsoku/>
        <w:wordWrap/>
        <w:overflowPunct/>
        <w:topLinePunct w:val="0"/>
        <w:autoSpaceDE/>
        <w:autoSpaceDN/>
        <w:bidi w:val="0"/>
        <w:adjustRightInd/>
        <w:snapToGrid/>
        <w:spacing w:line="580" w:lineRule="exact"/>
        <w:ind w:firstLine="601"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高度重视地下空间开发利用，出台了一系列政策文件，鼓励城市利用地下空间，拓展城市发展空间，提升城市空间利用效率。《中华人民共和国城市地下空间管理法》的颁布实施，为城市地下空间开发利用提供了法律保障，明确了地下空间开发利用的原则和管理制度。</w:t>
      </w:r>
    </w:p>
    <w:p>
      <w:pPr>
        <w:keepNext w:val="0"/>
        <w:keepLines w:val="0"/>
        <w:pageBreakBefore w:val="0"/>
        <w:widowControl w:val="0"/>
        <w:kinsoku/>
        <w:wordWrap/>
        <w:overflowPunct/>
        <w:topLinePunct w:val="0"/>
        <w:autoSpaceDE/>
        <w:autoSpaceDN/>
        <w:bidi w:val="0"/>
        <w:adjustRightInd/>
        <w:snapToGrid/>
        <w:spacing w:line="580" w:lineRule="exact"/>
        <w:ind w:firstLine="601"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下空间可以用于建设交通基础设施、公共服务设施、防灾避险设施等，提升城市功能，改善城市基础设施建设水平。减少对地面的占用，保护地面生态环境，促进城市绿色发展，实现城市可持续发展。作为城市安全保障的重要空间，可以用于建设防灾避险设施，提升城市安全韧性，提高城市应对自然灾害和城市安全风险的能力。</w:t>
      </w:r>
    </w:p>
    <w:p>
      <w:pPr>
        <w:spacing w:before="156" w:beforeLines="50"/>
        <w:ind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4957445" cy="2381250"/>
            <wp:effectExtent l="0" t="0" r="0" b="0"/>
            <wp:docPr id="637559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559859"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t="13676" b="4759"/>
                    <a:stretch>
                      <a:fillRect/>
                    </a:stretch>
                  </pic:blipFill>
                  <pic:spPr>
                    <a:xfrm>
                      <a:off x="0" y="0"/>
                      <a:ext cx="5078442" cy="2439643"/>
                    </a:xfrm>
                    <a:prstGeom prst="rect">
                      <a:avLst/>
                    </a:prstGeom>
                    <a:noFill/>
                    <a:ln>
                      <a:noFill/>
                    </a:ln>
                  </pic:spPr>
                </pic:pic>
              </a:graphicData>
            </a:graphic>
          </wp:inline>
        </w:drawing>
      </w:r>
      <w:bookmarkStart w:id="0" w:name="_GoBack"/>
      <w:bookmarkEnd w:id="0"/>
    </w:p>
    <w:p>
      <w:pPr>
        <w:pStyle w:val="6"/>
        <w:ind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图 </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SEQ 图_ \* ARABIC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地下空间示意图</w:t>
      </w:r>
    </w:p>
    <w:p>
      <w:pPr>
        <w:pStyle w:val="26"/>
        <w:numPr>
          <w:ilvl w:val="0"/>
          <w:numId w:val="0"/>
        </w:numPr>
        <w:ind w:firstLine="640" w:firstLineChars="200"/>
        <w:rPr>
          <w:rFonts w:hint="eastAsia" w:ascii="黑体" w:hAnsi="黑体" w:eastAsia="黑体" w:cs="黑体"/>
          <w:b w:val="0"/>
          <w:bCs w:val="0"/>
          <w:sz w:val="32"/>
          <w:szCs w:val="32"/>
          <w:lang w:val="zh-CN"/>
        </w:rPr>
      </w:pPr>
      <w:r>
        <w:rPr>
          <w:rFonts w:hint="eastAsia" w:ascii="黑体" w:hAnsi="黑体" w:eastAsia="黑体" w:cs="黑体"/>
          <w:b w:val="0"/>
          <w:bCs w:val="0"/>
          <w:sz w:val="32"/>
          <w:szCs w:val="32"/>
          <w:lang w:val="zh-CN"/>
        </w:rPr>
        <w:t>二、规划原则</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上党区地下空间开发利用应贯彻统一规划、合理开发、</w:t>
      </w:r>
      <w:r>
        <w:rPr>
          <w:rFonts w:hint="eastAsia" w:ascii="仿宋_GB2312" w:hAnsi="仿宋_GB2312" w:cs="仿宋_GB2312"/>
          <w:sz w:val="32"/>
          <w:szCs w:val="32"/>
          <w:lang w:eastAsia="zh-CN"/>
        </w:rPr>
        <w:t>、</w:t>
      </w:r>
      <w:r>
        <w:rPr>
          <w:rFonts w:hint="eastAsia" w:ascii="仿宋_GB2312" w:hAnsi="仿宋_GB2312" w:eastAsia="仿宋_GB2312" w:cs="仿宋_GB2312"/>
          <w:sz w:val="32"/>
          <w:szCs w:val="32"/>
        </w:rPr>
        <w:t>合利用、依法管理的原则，坚持社会效益、经济效益和环境效益相结合，考虑防灾和人民防空等城市安全需求。具体包括以下原则：</w:t>
      </w:r>
    </w:p>
    <w:p>
      <w:pPr>
        <w:ind w:firstLine="6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w:t>
      </w:r>
      <w:r>
        <w:rPr>
          <w:rFonts w:hint="eastAsia" w:ascii="仿宋_GB2312" w:hAnsi="仿宋_GB2312" w:cs="仿宋_GB2312"/>
          <w:b/>
          <w:bCs/>
          <w:sz w:val="32"/>
          <w:szCs w:val="32"/>
          <w:lang w:eastAsia="zh-CN"/>
        </w:rPr>
        <w:t>一</w:t>
      </w:r>
      <w:r>
        <w:rPr>
          <w:rFonts w:hint="eastAsia" w:ascii="仿宋_GB2312" w:hAnsi="仿宋_GB2312" w:eastAsia="仿宋_GB2312" w:cs="仿宋_GB2312"/>
          <w:b/>
          <w:bCs/>
          <w:sz w:val="32"/>
          <w:szCs w:val="32"/>
        </w:rPr>
        <w:t>）发展与保护相结合原则</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城市地下空间资源是城市重要土地资源，地下空间的不可逆性要求城市地下空间开发，必须坚持保护性开发。对于历史文物保护区，要遵循历史保护原则，以保护为主，开发过程中避免对地上历史建筑、街区与资源的破坏；地下空间与城市生态环境有着密不可分的联系，在一些敏感区域，应坚决予以保护，控制地下空间开发面积，避免过大面积连片开发，适当为海绵城市、生态建设预留空间。</w:t>
      </w:r>
    </w:p>
    <w:p>
      <w:pPr>
        <w:ind w:firstLine="6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w:t>
      </w:r>
      <w:r>
        <w:rPr>
          <w:rFonts w:hint="eastAsia" w:ascii="仿宋_GB2312" w:hAnsi="仿宋_GB2312" w:cs="仿宋_GB2312"/>
          <w:b/>
          <w:bCs/>
          <w:sz w:val="32"/>
          <w:szCs w:val="32"/>
          <w:lang w:eastAsia="zh-CN"/>
        </w:rPr>
        <w:t>二</w:t>
      </w:r>
      <w:r>
        <w:rPr>
          <w:rFonts w:hint="eastAsia" w:ascii="仿宋_GB2312" w:hAnsi="仿宋_GB2312" w:eastAsia="仿宋_GB2312" w:cs="仿宋_GB2312"/>
          <w:b/>
          <w:bCs/>
          <w:sz w:val="32"/>
          <w:szCs w:val="32"/>
        </w:rPr>
        <w:t>）平战结合、平灾结合原则</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开发利用地下空间来促进城市综合防空防灾空间体系的建设和总体防灾抗毁能力的提高；注重平时与战时功能的灵活互换，有效发挥城市空间复合利用所带来的多元效益，实现地下空间国防效益、社会效益和经济效益的最大化。</w:t>
      </w:r>
    </w:p>
    <w:p>
      <w:pPr>
        <w:ind w:firstLine="6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w:t>
      </w:r>
      <w:r>
        <w:rPr>
          <w:rFonts w:hint="eastAsia" w:ascii="仿宋_GB2312" w:hAnsi="仿宋_GB2312" w:cs="仿宋_GB2312"/>
          <w:b/>
          <w:bCs/>
          <w:sz w:val="32"/>
          <w:szCs w:val="32"/>
          <w:lang w:eastAsia="zh-CN"/>
        </w:rPr>
        <w:t>三</w:t>
      </w:r>
      <w:r>
        <w:rPr>
          <w:rFonts w:hint="eastAsia" w:ascii="仿宋_GB2312" w:hAnsi="仿宋_GB2312" w:eastAsia="仿宋_GB2312" w:cs="仿宋_GB2312"/>
          <w:b/>
          <w:bCs/>
          <w:sz w:val="32"/>
          <w:szCs w:val="32"/>
        </w:rPr>
        <w:t>）均衡布局、规模适度，远景保留原则</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下空间的开发利用受城市经济发展、城市功能与目标、产业结构、人口规模等外部因素制约，因此在城市地下空间布局上应从“生长”的城市发展理念出发，考虑近远期建设时序和规模的弹性控制，为远景时期中心城区大规模开发地下空间预留发展空间。</w:t>
      </w:r>
    </w:p>
    <w:p>
      <w:pPr>
        <w:ind w:firstLine="6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w:t>
      </w:r>
      <w:r>
        <w:rPr>
          <w:rFonts w:hint="eastAsia" w:ascii="仿宋_GB2312" w:hAnsi="仿宋_GB2312" w:cs="仿宋_GB2312"/>
          <w:b/>
          <w:bCs/>
          <w:sz w:val="32"/>
          <w:szCs w:val="32"/>
          <w:lang w:eastAsia="zh-CN"/>
        </w:rPr>
        <w:t>四</w:t>
      </w:r>
      <w:r>
        <w:rPr>
          <w:rFonts w:hint="eastAsia" w:ascii="仿宋_GB2312" w:hAnsi="仿宋_GB2312" w:eastAsia="仿宋_GB2312" w:cs="仿宋_GB2312"/>
          <w:b/>
          <w:bCs/>
          <w:sz w:val="32"/>
          <w:szCs w:val="32"/>
        </w:rPr>
        <w:t>）分层开发、地上地下结合原则</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竖向分层立体复合利用，结合地上建设情况，增强地下空间的利用率，鼓励横向相关空间相互连通，扩大城市地下空间的边际效益；以地下节点为发展源，以地下商业为发展平台，逐步向周边扩展；推进地下综合管廊建设，做好地下空间利用的控制预留，完善城市功能，促进城市集约高效和转型发展。</w:t>
      </w:r>
    </w:p>
    <w:p>
      <w:pPr>
        <w:ind w:firstLine="6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w:t>
      </w:r>
      <w:r>
        <w:rPr>
          <w:rFonts w:hint="eastAsia" w:ascii="仿宋_GB2312" w:hAnsi="仿宋_GB2312" w:cs="仿宋_GB2312"/>
          <w:b/>
          <w:bCs/>
          <w:sz w:val="32"/>
          <w:szCs w:val="32"/>
          <w:lang w:eastAsia="zh-CN"/>
        </w:rPr>
        <w:t>五</w:t>
      </w:r>
      <w:r>
        <w:rPr>
          <w:rFonts w:hint="eastAsia" w:ascii="仿宋_GB2312" w:hAnsi="仿宋_GB2312" w:eastAsia="仿宋_GB2312" w:cs="仿宋_GB2312"/>
          <w:b/>
          <w:bCs/>
          <w:sz w:val="32"/>
          <w:szCs w:val="32"/>
        </w:rPr>
        <w:t>）近远期相结合原则</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空间和时序上分阶段和分区域进行发展与控制，强化重点区域的开发力度与局部地区的整体性，做好远景空间预留，在长期规划的基础上有重点的分期实施，根据土地价值、使用功能及建设条件等因素划分不同区域和时期进行开发。</w:t>
      </w:r>
    </w:p>
    <w:p>
      <w:pPr>
        <w:spacing w:before="156" w:beforeLines="50"/>
        <w:ind w:firstLine="211" w:firstLineChars="66"/>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4956810" cy="3181350"/>
            <wp:effectExtent l="0" t="0" r="0" b="0"/>
            <wp:docPr id="116078870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788704" name="图片 3"/>
                    <pic:cNvPicPr>
                      <a:picLocks noChangeAspect="1" noChangeArrowheads="1"/>
                    </pic:cNvPicPr>
                  </pic:nvPicPr>
                  <pic:blipFill>
                    <a:blip r:embed="rId13">
                      <a:extLst>
                        <a:ext uri="{28A0092B-C50C-407E-A947-70E740481C1C}">
                          <a14:useLocalDpi xmlns:a14="http://schemas.microsoft.com/office/drawing/2010/main" val="0"/>
                        </a:ext>
                      </a:extLst>
                    </a:blip>
                    <a:srcRect b="6258"/>
                    <a:stretch>
                      <a:fillRect/>
                    </a:stretch>
                  </pic:blipFill>
                  <pic:spPr>
                    <a:xfrm>
                      <a:off x="0" y="0"/>
                      <a:ext cx="4957208" cy="3181605"/>
                    </a:xfrm>
                    <a:prstGeom prst="rect">
                      <a:avLst/>
                    </a:prstGeom>
                    <a:noFill/>
                    <a:ln>
                      <a:noFill/>
                    </a:ln>
                  </pic:spPr>
                </pic:pic>
              </a:graphicData>
            </a:graphic>
          </wp:inline>
        </w:drawing>
      </w:r>
    </w:p>
    <w:p>
      <w:pPr>
        <w:pStyle w:val="6"/>
        <w:ind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图</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上党区建设现状图</w:t>
      </w:r>
    </w:p>
    <w:p>
      <w:pPr>
        <w:ind w:firstLine="600"/>
        <w:rPr>
          <w:rFonts w:hint="eastAsia" w:ascii="仿宋_GB2312" w:hAnsi="仿宋_GB2312" w:eastAsia="仿宋_GB2312" w:cs="仿宋_GB2312"/>
          <w:sz w:val="32"/>
          <w:szCs w:val="32"/>
        </w:rPr>
      </w:pPr>
    </w:p>
    <w:p>
      <w:pPr>
        <w:pStyle w:val="26"/>
        <w:numPr>
          <w:ilvl w:val="0"/>
          <w:numId w:val="0"/>
        </w:numPr>
        <w:ind w:firstLine="640" w:firstLineChars="200"/>
        <w:rPr>
          <w:rFonts w:hint="eastAsia" w:ascii="黑体" w:hAnsi="黑体" w:eastAsia="黑体" w:cs="黑体"/>
          <w:b w:val="0"/>
          <w:bCs w:val="0"/>
          <w:sz w:val="32"/>
          <w:szCs w:val="32"/>
          <w:lang w:val="zh-CN"/>
        </w:rPr>
      </w:pPr>
      <w:r>
        <w:rPr>
          <w:rFonts w:hint="eastAsia" w:ascii="黑体" w:hAnsi="黑体" w:eastAsia="黑体" w:cs="黑体"/>
          <w:b w:val="0"/>
          <w:bCs w:val="0"/>
          <w:sz w:val="32"/>
          <w:szCs w:val="32"/>
          <w:lang w:val="zh-CN"/>
        </w:rPr>
        <w:t>三、规划范围与期限</w:t>
      </w:r>
    </w:p>
    <w:p>
      <w:pPr>
        <w:ind w:firstLine="6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w:t>
      </w:r>
      <w:r>
        <w:rPr>
          <w:rFonts w:hint="eastAsia" w:ascii="仿宋_GB2312" w:hAnsi="仿宋_GB2312" w:cs="仿宋_GB2312"/>
          <w:b/>
          <w:bCs/>
          <w:sz w:val="32"/>
          <w:szCs w:val="32"/>
          <w:lang w:eastAsia="zh-CN"/>
        </w:rPr>
        <w:t>一</w:t>
      </w:r>
      <w:r>
        <w:rPr>
          <w:rFonts w:hint="eastAsia" w:ascii="仿宋_GB2312" w:hAnsi="仿宋_GB2312" w:eastAsia="仿宋_GB2312" w:cs="仿宋_GB2312"/>
          <w:b/>
          <w:bCs/>
          <w:sz w:val="32"/>
          <w:szCs w:val="32"/>
        </w:rPr>
        <w:t>）规划范围</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上党区中心城区及苏店镇部分区域，约18.71平方公里，人口14万人（中心城区规划2035年，不含苏店镇、郝家庄镇）。</w:t>
      </w:r>
    </w:p>
    <w:p>
      <w:pPr>
        <w:ind w:firstLine="6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w:t>
      </w:r>
      <w:r>
        <w:rPr>
          <w:rFonts w:hint="eastAsia" w:ascii="仿宋_GB2312" w:hAnsi="仿宋_GB2312" w:cs="仿宋_GB2312"/>
          <w:b/>
          <w:bCs/>
          <w:sz w:val="32"/>
          <w:szCs w:val="32"/>
          <w:lang w:eastAsia="zh-CN"/>
        </w:rPr>
        <w:t>二</w:t>
      </w:r>
      <w:r>
        <w:rPr>
          <w:rFonts w:hint="eastAsia" w:ascii="仿宋_GB2312" w:hAnsi="仿宋_GB2312" w:eastAsia="仿宋_GB2312" w:cs="仿宋_GB2312"/>
          <w:b/>
          <w:bCs/>
          <w:sz w:val="32"/>
          <w:szCs w:val="32"/>
        </w:rPr>
        <w:t>）规划期限</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规划2021年-2035年，近期到2025年，远期至2035年。</w:t>
      </w:r>
    </w:p>
    <w:p>
      <w:pPr>
        <w:spacing w:before="156" w:beforeLines="50"/>
        <w:ind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4798695" cy="6134735"/>
            <wp:effectExtent l="0" t="0" r="1905" b="0"/>
            <wp:docPr id="19238697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869733" name="图片 1"/>
                    <pic:cNvPicPr>
                      <a:picLocks noChangeAspect="1"/>
                    </pic:cNvPicPr>
                  </pic:nvPicPr>
                  <pic:blipFill>
                    <a:blip r:embed="rId14"/>
                    <a:stretch>
                      <a:fillRect/>
                    </a:stretch>
                  </pic:blipFill>
                  <pic:spPr>
                    <a:xfrm>
                      <a:off x="0" y="0"/>
                      <a:ext cx="4817337" cy="6158259"/>
                    </a:xfrm>
                    <a:prstGeom prst="rect">
                      <a:avLst/>
                    </a:prstGeom>
                  </pic:spPr>
                </pic:pic>
              </a:graphicData>
            </a:graphic>
          </wp:inline>
        </w:drawing>
      </w:r>
    </w:p>
    <w:p>
      <w:pPr>
        <w:pStyle w:val="6"/>
        <w:ind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图</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上党区地下空间规划范围图</w:t>
      </w:r>
    </w:p>
    <w:p>
      <w:pPr>
        <w:pStyle w:val="26"/>
        <w:numPr>
          <w:ilvl w:val="0"/>
          <w:numId w:val="0"/>
        </w:numPr>
        <w:ind w:firstLine="640" w:firstLineChars="200"/>
        <w:rPr>
          <w:rFonts w:hint="eastAsia" w:ascii="黑体" w:hAnsi="黑体" w:eastAsia="黑体" w:cs="黑体"/>
          <w:b w:val="0"/>
          <w:bCs w:val="0"/>
          <w:sz w:val="32"/>
          <w:szCs w:val="32"/>
          <w:lang w:val="zh-CN"/>
        </w:rPr>
      </w:pPr>
      <w:r>
        <w:rPr>
          <w:rFonts w:hint="eastAsia" w:ascii="黑体" w:hAnsi="黑体" w:eastAsia="黑体" w:cs="黑体"/>
          <w:b w:val="0"/>
          <w:bCs w:val="0"/>
          <w:sz w:val="32"/>
          <w:szCs w:val="32"/>
          <w:lang w:val="zh-CN"/>
        </w:rPr>
        <w:t>四、规划目标</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本规划立足于上党区城市空间格局，在保护好原生态自然风貌的基础上，建设生态持续、精细舒适、安全便捷的城市地下空间，加强基础支撑保障，让生活舒适便捷、人民安居乐业。</w:t>
      </w:r>
    </w:p>
    <w:p>
      <w:pPr>
        <w:ind w:firstLine="6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w:t>
      </w:r>
      <w:r>
        <w:rPr>
          <w:rFonts w:hint="eastAsia" w:ascii="仿宋_GB2312" w:hAnsi="仿宋_GB2312" w:cs="仿宋_GB2312"/>
          <w:b/>
          <w:bCs/>
          <w:sz w:val="32"/>
          <w:szCs w:val="32"/>
          <w:lang w:eastAsia="zh-CN"/>
        </w:rPr>
        <w:t>一</w:t>
      </w:r>
      <w:r>
        <w:rPr>
          <w:rFonts w:hint="eastAsia" w:ascii="仿宋_GB2312" w:hAnsi="仿宋_GB2312" w:eastAsia="仿宋_GB2312" w:cs="仿宋_GB2312"/>
          <w:b/>
          <w:bCs/>
          <w:sz w:val="32"/>
          <w:szCs w:val="32"/>
        </w:rPr>
        <w:t>）近期目标</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以光明路串联各城市重点功能片区的地下空间，促进城市中心区、人口密集区、商业繁华区地下空间互联互通，加强重点商圈、重点公共服务设施地下空间利用，提高地下空间综合利用率。</w:t>
      </w:r>
    </w:p>
    <w:p>
      <w:pPr>
        <w:ind w:firstLine="6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w:t>
      </w:r>
      <w:r>
        <w:rPr>
          <w:rFonts w:hint="eastAsia" w:ascii="仿宋_GB2312" w:hAnsi="仿宋_GB2312" w:cs="仿宋_GB2312"/>
          <w:b/>
          <w:bCs/>
          <w:sz w:val="32"/>
          <w:szCs w:val="32"/>
          <w:lang w:eastAsia="zh-CN"/>
        </w:rPr>
        <w:t>二</w:t>
      </w:r>
      <w:r>
        <w:rPr>
          <w:rFonts w:hint="eastAsia" w:ascii="仿宋_GB2312" w:hAnsi="仿宋_GB2312" w:eastAsia="仿宋_GB2312" w:cs="仿宋_GB2312"/>
          <w:b/>
          <w:bCs/>
          <w:sz w:val="32"/>
          <w:szCs w:val="32"/>
        </w:rPr>
        <w:t>）远期目标</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构建高水平的城市地下基础体系，完善地下空间建设经营及管理体制，加强地下空间重要节点之间的连通，构建形态完整功能完善的三维空间体系，形成重点地区点地区地下复合功能开发规模化，一般地区地下空间呈现由点到面的趋势，塑造高质量公共空间、高品质公共环境、高效率公共交通地下空间支撑体系。</w:t>
      </w:r>
    </w:p>
    <w:p>
      <w:pPr>
        <w:spacing w:before="156" w:beforeLines="50"/>
        <w:ind w:firstLine="211" w:firstLineChars="66"/>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036820" cy="2668270"/>
            <wp:effectExtent l="0" t="0" r="0" b="0"/>
            <wp:docPr id="13326958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695824"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t="10130"/>
                    <a:stretch>
                      <a:fillRect/>
                    </a:stretch>
                  </pic:blipFill>
                  <pic:spPr>
                    <a:xfrm>
                      <a:off x="0" y="0"/>
                      <a:ext cx="5042516" cy="2671575"/>
                    </a:xfrm>
                    <a:prstGeom prst="rect">
                      <a:avLst/>
                    </a:prstGeom>
                    <a:noFill/>
                    <a:ln>
                      <a:noFill/>
                    </a:ln>
                  </pic:spPr>
                </pic:pic>
              </a:graphicData>
            </a:graphic>
          </wp:inline>
        </w:drawing>
      </w:r>
    </w:p>
    <w:p>
      <w:pPr>
        <w:pStyle w:val="6"/>
        <w:ind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图</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地下空间示意图</w:t>
      </w:r>
    </w:p>
    <w:p>
      <w:pPr>
        <w:pStyle w:val="26"/>
        <w:numPr>
          <w:ilvl w:val="0"/>
          <w:numId w:val="0"/>
        </w:numPr>
        <w:ind w:firstLine="640" w:firstLineChars="200"/>
        <w:rPr>
          <w:rFonts w:hint="eastAsia" w:ascii="黑体" w:hAnsi="黑体" w:eastAsia="黑体" w:cs="黑体"/>
          <w:b w:val="0"/>
          <w:bCs w:val="0"/>
          <w:sz w:val="32"/>
          <w:szCs w:val="32"/>
          <w:lang w:val="zh-CN"/>
        </w:rPr>
      </w:pPr>
      <w:r>
        <w:rPr>
          <w:rFonts w:hint="eastAsia" w:ascii="黑体" w:hAnsi="黑体" w:eastAsia="黑体" w:cs="黑体"/>
          <w:b w:val="0"/>
          <w:bCs w:val="0"/>
          <w:sz w:val="32"/>
          <w:szCs w:val="32"/>
          <w:lang w:val="zh-CN"/>
        </w:rPr>
        <w:t>五、规划策略</w:t>
      </w:r>
    </w:p>
    <w:p>
      <w:pPr>
        <w:ind w:firstLine="6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w:t>
      </w:r>
      <w:r>
        <w:rPr>
          <w:rFonts w:hint="eastAsia" w:ascii="仿宋_GB2312" w:hAnsi="仿宋_GB2312" w:cs="仿宋_GB2312"/>
          <w:b/>
          <w:bCs/>
          <w:sz w:val="32"/>
          <w:szCs w:val="32"/>
          <w:lang w:eastAsia="zh-CN"/>
        </w:rPr>
        <w:t>一</w:t>
      </w:r>
      <w:r>
        <w:rPr>
          <w:rFonts w:hint="eastAsia" w:ascii="仿宋_GB2312" w:hAnsi="仿宋_GB2312" w:eastAsia="仿宋_GB2312" w:cs="仿宋_GB2312"/>
          <w:b/>
          <w:bCs/>
          <w:sz w:val="32"/>
          <w:szCs w:val="32"/>
        </w:rPr>
        <w:t>）功能复合，交通高效，建设高效便捷的地下空间网络</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复合利用，功能统筹，建设地下综合发展核心。地下空间整合多种地下功能，鼓励一体化建设，实现商业设施的规模效应，并通过商业收益补偿公用设施投入，保证地下通道等公用设施落实，强化各发展核心辐射功能，带动板块价值腾飞。</w:t>
      </w:r>
    </w:p>
    <w:p>
      <w:pPr>
        <w:ind w:firstLine="6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w:t>
      </w:r>
      <w:r>
        <w:rPr>
          <w:rFonts w:hint="eastAsia" w:ascii="仿宋_GB2312" w:hAnsi="仿宋_GB2312" w:cs="仿宋_GB2312"/>
          <w:b/>
          <w:bCs/>
          <w:sz w:val="32"/>
          <w:szCs w:val="32"/>
          <w:lang w:eastAsia="zh-CN"/>
        </w:rPr>
        <w:t>二</w:t>
      </w:r>
      <w:r>
        <w:rPr>
          <w:rFonts w:hint="eastAsia" w:ascii="仿宋_GB2312" w:hAnsi="仿宋_GB2312" w:eastAsia="仿宋_GB2312" w:cs="仿宋_GB2312"/>
          <w:b/>
          <w:bCs/>
          <w:sz w:val="32"/>
          <w:szCs w:val="32"/>
        </w:rPr>
        <w:t>）多维空间利用，建设上下一体的立体空间体系</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设立体多维城市地下空间，不同地区、不同深度开发不同性质地下空间开发。地下功能与地面相协调，上下一体分析总体建设容量，进行上下容量分配平衡；地下空间作为地面功能与活力的支撑和承载，完善地面职能、引导地面发展。做好地上地下衔接处空间设计，多用下沉广场，开敞广场等形式连通，提升空间趣味性，营造活力空间。</w:t>
      </w:r>
    </w:p>
    <w:p>
      <w:pPr>
        <w:ind w:firstLine="6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w:t>
      </w:r>
      <w:r>
        <w:rPr>
          <w:rFonts w:hint="eastAsia" w:ascii="仿宋_GB2312" w:hAnsi="仿宋_GB2312" w:cs="仿宋_GB2312"/>
          <w:b/>
          <w:bCs/>
          <w:sz w:val="32"/>
          <w:szCs w:val="32"/>
          <w:lang w:eastAsia="zh-CN"/>
        </w:rPr>
        <w:t>三</w:t>
      </w:r>
      <w:r>
        <w:rPr>
          <w:rFonts w:hint="eastAsia" w:ascii="仿宋_GB2312" w:hAnsi="仿宋_GB2312" w:eastAsia="仿宋_GB2312" w:cs="仿宋_GB2312"/>
          <w:b/>
          <w:bCs/>
          <w:sz w:val="32"/>
          <w:szCs w:val="32"/>
        </w:rPr>
        <w:t>）环境宜居、秉承优势，提升上党城市吸引力</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注重自然资源保护，适度开发，地下空间环境设计注重对生态特色的表达。精细化地下环境设计，建设高品质地下文化休闲空间。通过园林式下沉广场等增强地下公共空间景观层次，倡导自然采光通风、光导照明新技术、集中供暖供热、海绵城市等低碳节能技术的使用，使地下空间形成生态自然、丰富多彩的氛围，创造舒适体验。</w:t>
      </w:r>
    </w:p>
    <w:p>
      <w:pPr>
        <w:ind w:firstLine="6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w:t>
      </w:r>
      <w:r>
        <w:rPr>
          <w:rFonts w:hint="eastAsia" w:ascii="仿宋_GB2312" w:hAnsi="仿宋_GB2312" w:cs="仿宋_GB2312"/>
          <w:b/>
          <w:bCs/>
          <w:sz w:val="32"/>
          <w:szCs w:val="32"/>
          <w:lang w:eastAsia="zh-CN"/>
        </w:rPr>
        <w:t>四</w:t>
      </w:r>
      <w:r>
        <w:rPr>
          <w:rFonts w:hint="eastAsia" w:ascii="仿宋_GB2312" w:hAnsi="仿宋_GB2312" w:eastAsia="仿宋_GB2312" w:cs="仿宋_GB2312"/>
          <w:b/>
          <w:bCs/>
          <w:sz w:val="32"/>
          <w:szCs w:val="32"/>
        </w:rPr>
        <w:t>）底线控制，绿色市政，保护与发展并存的可持续发展战略</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划定四类开发分区，明确分类控制，分层落实要求。以维护生态安全、保护环境资源、优化城市建设品质为目标，以生态底线控制为基本约束。以引导城市重点地区地下网络化建设为重点内容，鼓励地下综合管廊、设施入地，建设绿色市政体系，形成基于“生态底线”的集中式总体开发格局，保障上党地下空间可持续发展。</w:t>
      </w:r>
    </w:p>
    <w:p>
      <w:pPr>
        <w:pStyle w:val="26"/>
        <w:numPr>
          <w:ilvl w:val="0"/>
          <w:numId w:val="0"/>
        </w:numPr>
        <w:ind w:firstLine="643" w:firstLineChars="200"/>
        <w:rPr>
          <w:rFonts w:hint="eastAsia" w:ascii="仿宋_GB2312" w:hAnsi="仿宋_GB2312" w:eastAsia="仿宋_GB2312" w:cs="仿宋_GB2312"/>
          <w:b/>
          <w:bCs/>
          <w:sz w:val="32"/>
          <w:szCs w:val="32"/>
          <w:lang w:val="zh-CN"/>
        </w:rPr>
      </w:pPr>
      <w:r>
        <w:rPr>
          <w:rFonts w:hint="eastAsia" w:ascii="仿宋_GB2312" w:hAnsi="仿宋_GB2312" w:cs="仿宋_GB2312"/>
          <w:b/>
          <w:bCs/>
          <w:sz w:val="32"/>
          <w:szCs w:val="32"/>
          <w:lang w:val="zh-CN"/>
        </w:rPr>
        <w:t>六、</w:t>
      </w:r>
      <w:r>
        <w:rPr>
          <w:rFonts w:hint="eastAsia" w:ascii="仿宋_GB2312" w:hAnsi="仿宋_GB2312" w:eastAsia="仿宋_GB2312" w:cs="仿宋_GB2312"/>
          <w:b/>
          <w:bCs/>
          <w:sz w:val="32"/>
          <w:szCs w:val="32"/>
          <w:lang w:val="zh-CN"/>
        </w:rPr>
        <w:t>地下空间资源评估</w:t>
      </w:r>
    </w:p>
    <w:p>
      <w:pPr>
        <w:ind w:firstLine="6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w:t>
      </w:r>
      <w:r>
        <w:rPr>
          <w:rFonts w:hint="eastAsia" w:ascii="仿宋_GB2312" w:hAnsi="仿宋_GB2312" w:cs="仿宋_GB2312"/>
          <w:b/>
          <w:bCs/>
          <w:sz w:val="32"/>
          <w:szCs w:val="32"/>
          <w:lang w:eastAsia="zh-CN"/>
        </w:rPr>
        <w:t>一</w:t>
      </w:r>
      <w:r>
        <w:rPr>
          <w:rFonts w:hint="eastAsia" w:ascii="仿宋_GB2312" w:hAnsi="仿宋_GB2312" w:eastAsia="仿宋_GB2312" w:cs="仿宋_GB2312"/>
          <w:b/>
          <w:bCs/>
          <w:sz w:val="32"/>
          <w:szCs w:val="32"/>
        </w:rPr>
        <w:t>）地下空间资源评估的目标</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国土空间规划背景下，坚持底线约束、安全优先，地上地下协同发展，强化多规统筹及竖向分层协调，完善城市基础设施体系，充分发挥交通引领作用，贯通城市生命线，促进重点建设区地下空间立体化综合开发，实现地下空间的科学利用，建立地上地下统筹联动的高质量立体城市，打造地下空间资源现代化管控治理示范标杆。</w:t>
      </w:r>
    </w:p>
    <w:p>
      <w:pPr>
        <w:ind w:firstLine="6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w:t>
      </w:r>
      <w:r>
        <w:rPr>
          <w:rFonts w:hint="eastAsia" w:ascii="仿宋_GB2312" w:hAnsi="仿宋_GB2312" w:cs="仿宋_GB2312"/>
          <w:b/>
          <w:bCs/>
          <w:sz w:val="32"/>
          <w:szCs w:val="32"/>
          <w:lang w:eastAsia="zh-CN"/>
        </w:rPr>
        <w:t>二</w:t>
      </w:r>
      <w:r>
        <w:rPr>
          <w:rFonts w:hint="eastAsia" w:ascii="仿宋_GB2312" w:hAnsi="仿宋_GB2312" w:eastAsia="仿宋_GB2312" w:cs="仿宋_GB2312"/>
          <w:b/>
          <w:bCs/>
          <w:sz w:val="32"/>
          <w:szCs w:val="32"/>
        </w:rPr>
        <w:t>）城市地下空间功能特征</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地下空间指城市行政区域内地表以下，自然形成或人工开发的空间，是地面空间的延伸和补充。</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城市地下空间类型按用途分主要包括8大类，27小类，其中8大类主要包括：交通设施、市政公用设施、公共管理与公共服务设施、商业服务业设施、工业设施、物流仓储设施、防灾设施、其他设施。</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规划中心城区地下空间设施包括地下停车设施、市政管线、市政管廊、商业设施人民防空设施。</w:t>
      </w:r>
    </w:p>
    <w:p>
      <w:pPr>
        <w:pStyle w:val="26"/>
        <w:numPr>
          <w:ilvl w:val="0"/>
          <w:numId w:val="0"/>
        </w:numPr>
        <w:ind w:firstLine="643" w:firstLineChars="200"/>
        <w:rPr>
          <w:rFonts w:hint="eastAsia" w:ascii="仿宋_GB2312" w:hAnsi="仿宋_GB2312" w:eastAsia="仿宋_GB2312" w:cs="仿宋_GB2312"/>
          <w:b/>
          <w:bCs/>
          <w:sz w:val="32"/>
          <w:szCs w:val="32"/>
          <w:lang w:val="zh-CN"/>
        </w:rPr>
      </w:pPr>
      <w:r>
        <w:rPr>
          <w:rFonts w:hint="eastAsia" w:ascii="仿宋_GB2312" w:hAnsi="仿宋_GB2312" w:cs="仿宋_GB2312"/>
          <w:b/>
          <w:bCs/>
          <w:sz w:val="32"/>
          <w:szCs w:val="32"/>
          <w:lang w:val="zh-CN"/>
        </w:rPr>
        <w:t>七、</w:t>
      </w:r>
      <w:r>
        <w:rPr>
          <w:rFonts w:hint="eastAsia" w:ascii="仿宋_GB2312" w:hAnsi="仿宋_GB2312" w:eastAsia="仿宋_GB2312" w:cs="仿宋_GB2312"/>
          <w:b/>
          <w:bCs/>
          <w:sz w:val="32"/>
          <w:szCs w:val="32"/>
          <w:lang w:val="zh-CN"/>
        </w:rPr>
        <w:t>地下空间开发控制分区</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综合上党区考虑生态环境、地质灾害等多要素对地下空间开发利用的影响，将中心城区地下空间平面上科学地划分为地下空间慎建区、地下空间限建区和地下空间适建区。</w:t>
      </w:r>
    </w:p>
    <w:p>
      <w:pPr>
        <w:pStyle w:val="6"/>
        <w:ind w:firstLine="0" w:firstLineChars="0"/>
        <w:jc w:val="center"/>
        <w:rPr>
          <w:rFonts w:hint="eastAsia" w:ascii="黑体" w:hAnsi="黑体" w:eastAsia="黑体" w:cs="黑体"/>
          <w:sz w:val="28"/>
          <w:szCs w:val="28"/>
        </w:rPr>
      </w:pPr>
      <w:r>
        <w:rPr>
          <w:rFonts w:hint="eastAsia" w:ascii="黑体" w:hAnsi="黑体" w:eastAsia="黑体" w:cs="黑体"/>
          <w:sz w:val="28"/>
          <w:szCs w:val="28"/>
        </w:rPr>
        <w:t>表 1地下空间开发控制分区一览表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2"/>
        <w:gridCol w:w="3535"/>
        <w:gridCol w:w="3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jc w:val="center"/>
        </w:trPr>
        <w:tc>
          <w:tcPr>
            <w:tcW w:w="852" w:type="pct"/>
            <w:vAlign w:val="center"/>
          </w:tcPr>
          <w:p>
            <w:pPr>
              <w:pStyle w:val="47"/>
              <w:keepNext w:val="0"/>
              <w:keepLines w:val="0"/>
              <w:pageBreakBefore w:val="0"/>
              <w:widowControl w:val="0"/>
              <w:kinsoku/>
              <w:wordWrap/>
              <w:overflowPunct/>
              <w:topLinePunct w:val="0"/>
              <w:autoSpaceDE/>
              <w:autoSpaceDN/>
              <w:bidi w:val="0"/>
              <w:adjustRightInd/>
              <w:snapToGrid/>
              <w:spacing w:line="360" w:lineRule="exact"/>
              <w:textAlignment w:val="center"/>
              <w:rPr>
                <w:rFonts w:hint="eastAsia"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开发控制</w:t>
            </w:r>
          </w:p>
          <w:p>
            <w:pPr>
              <w:pStyle w:val="47"/>
              <w:keepNext w:val="0"/>
              <w:keepLines w:val="0"/>
              <w:pageBreakBefore w:val="0"/>
              <w:widowControl w:val="0"/>
              <w:kinsoku/>
              <w:wordWrap/>
              <w:overflowPunct/>
              <w:topLinePunct w:val="0"/>
              <w:autoSpaceDE/>
              <w:autoSpaceDN/>
              <w:bidi w:val="0"/>
              <w:adjustRightInd/>
              <w:snapToGrid/>
              <w:spacing w:line="360" w:lineRule="exact"/>
              <w:textAlignment w:val="center"/>
              <w:rPr>
                <w:rFonts w:hint="eastAsia"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分区</w:t>
            </w:r>
          </w:p>
        </w:tc>
        <w:tc>
          <w:tcPr>
            <w:tcW w:w="2074" w:type="pct"/>
            <w:vAlign w:val="center"/>
          </w:tcPr>
          <w:p>
            <w:pPr>
              <w:pStyle w:val="47"/>
              <w:keepNext w:val="0"/>
              <w:keepLines w:val="0"/>
              <w:pageBreakBefore w:val="0"/>
              <w:widowControl w:val="0"/>
              <w:kinsoku/>
              <w:wordWrap/>
              <w:overflowPunct/>
              <w:topLinePunct w:val="0"/>
              <w:autoSpaceDE/>
              <w:autoSpaceDN/>
              <w:bidi w:val="0"/>
              <w:adjustRightInd/>
              <w:snapToGrid/>
              <w:spacing w:line="360" w:lineRule="exact"/>
              <w:textAlignment w:val="center"/>
              <w:rPr>
                <w:rFonts w:hint="eastAsia"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分区特征</w:t>
            </w:r>
          </w:p>
        </w:tc>
        <w:tc>
          <w:tcPr>
            <w:tcW w:w="2074" w:type="pct"/>
            <w:vAlign w:val="center"/>
          </w:tcPr>
          <w:p>
            <w:pPr>
              <w:pStyle w:val="47"/>
              <w:keepNext w:val="0"/>
              <w:keepLines w:val="0"/>
              <w:pageBreakBefore w:val="0"/>
              <w:widowControl w:val="0"/>
              <w:kinsoku/>
              <w:wordWrap/>
              <w:overflowPunct/>
              <w:topLinePunct w:val="0"/>
              <w:autoSpaceDE/>
              <w:autoSpaceDN/>
              <w:bidi w:val="0"/>
              <w:adjustRightInd/>
              <w:snapToGrid/>
              <w:spacing w:line="360" w:lineRule="exact"/>
              <w:textAlignment w:val="center"/>
              <w:rPr>
                <w:rFonts w:hint="eastAsia"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分区控制措施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0" w:hRule="atLeast"/>
          <w:jc w:val="center"/>
        </w:trPr>
        <w:tc>
          <w:tcPr>
            <w:tcW w:w="852" w:type="pct"/>
            <w:vAlign w:val="center"/>
          </w:tcPr>
          <w:p>
            <w:pPr>
              <w:pStyle w:val="47"/>
              <w:keepNext w:val="0"/>
              <w:keepLines w:val="0"/>
              <w:pageBreakBefore w:val="0"/>
              <w:widowControl w:val="0"/>
              <w:kinsoku/>
              <w:wordWrap/>
              <w:overflowPunct/>
              <w:topLinePunct w:val="0"/>
              <w:autoSpaceDE/>
              <w:autoSpaceDN/>
              <w:bidi w:val="0"/>
              <w:adjustRightInd/>
              <w:snapToGrid/>
              <w:spacing w:line="360" w:lineRule="exact"/>
              <w:textAlignment w:val="center"/>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适建区</w:t>
            </w:r>
          </w:p>
        </w:tc>
        <w:tc>
          <w:tcPr>
            <w:tcW w:w="2074" w:type="pct"/>
            <w:vAlign w:val="center"/>
          </w:tcPr>
          <w:p>
            <w:pPr>
              <w:pStyle w:val="47"/>
              <w:keepNext w:val="0"/>
              <w:keepLines w:val="0"/>
              <w:pageBreakBefore w:val="0"/>
              <w:widowControl w:val="0"/>
              <w:kinsoku/>
              <w:wordWrap/>
              <w:overflowPunct/>
              <w:topLinePunct w:val="0"/>
              <w:autoSpaceDE/>
              <w:autoSpaceDN/>
              <w:bidi w:val="0"/>
              <w:adjustRightInd/>
              <w:snapToGrid/>
              <w:spacing w:line="360" w:lineRule="exact"/>
              <w:jc w:val="both"/>
              <w:textAlignment w:val="center"/>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为工程地质良好，并不受城市现状建设条件影响，适合进行各类地下工程建设的区域。</w:t>
            </w:r>
          </w:p>
        </w:tc>
        <w:tc>
          <w:tcPr>
            <w:tcW w:w="2074" w:type="pct"/>
            <w:vAlign w:val="center"/>
          </w:tcPr>
          <w:p>
            <w:pPr>
              <w:pStyle w:val="47"/>
              <w:keepNext w:val="0"/>
              <w:keepLines w:val="0"/>
              <w:pageBreakBefore w:val="0"/>
              <w:widowControl w:val="0"/>
              <w:kinsoku/>
              <w:wordWrap/>
              <w:overflowPunct/>
              <w:topLinePunct w:val="0"/>
              <w:autoSpaceDE/>
              <w:autoSpaceDN/>
              <w:bidi w:val="0"/>
              <w:adjustRightInd/>
              <w:snapToGrid/>
              <w:spacing w:line="360" w:lineRule="exact"/>
              <w:jc w:val="both"/>
              <w:textAlignment w:val="center"/>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统筹考虑城市建设发展与其他专项规划的关系，在集约、有效原则的基础上，合理有序的进行开发建设。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852" w:type="pct"/>
            <w:vAlign w:val="center"/>
          </w:tcPr>
          <w:p>
            <w:pPr>
              <w:pStyle w:val="47"/>
              <w:keepNext w:val="0"/>
              <w:keepLines w:val="0"/>
              <w:pageBreakBefore w:val="0"/>
              <w:widowControl w:val="0"/>
              <w:kinsoku/>
              <w:wordWrap/>
              <w:overflowPunct/>
              <w:topLinePunct w:val="0"/>
              <w:autoSpaceDE/>
              <w:autoSpaceDN/>
              <w:bidi w:val="0"/>
              <w:adjustRightInd/>
              <w:snapToGrid/>
              <w:spacing w:line="360" w:lineRule="exact"/>
              <w:textAlignment w:val="center"/>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限建区</w:t>
            </w:r>
          </w:p>
        </w:tc>
        <w:tc>
          <w:tcPr>
            <w:tcW w:w="2074" w:type="pct"/>
            <w:vAlign w:val="center"/>
          </w:tcPr>
          <w:p>
            <w:pPr>
              <w:pStyle w:val="47"/>
              <w:keepNext w:val="0"/>
              <w:keepLines w:val="0"/>
              <w:pageBreakBefore w:val="0"/>
              <w:widowControl w:val="0"/>
              <w:kinsoku/>
              <w:wordWrap/>
              <w:overflowPunct/>
              <w:topLinePunct w:val="0"/>
              <w:autoSpaceDE/>
              <w:autoSpaceDN/>
              <w:bidi w:val="0"/>
              <w:adjustRightInd/>
              <w:snapToGrid/>
              <w:spacing w:line="360" w:lineRule="exact"/>
              <w:jc w:val="both"/>
              <w:textAlignment w:val="center"/>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为工程地质条件较差区域，可能诱发地质灾害，或受到城市现状建设条件影响的区域。</w:t>
            </w:r>
          </w:p>
        </w:tc>
        <w:tc>
          <w:tcPr>
            <w:tcW w:w="2074" w:type="pct"/>
            <w:vAlign w:val="center"/>
          </w:tcPr>
          <w:p>
            <w:pPr>
              <w:pStyle w:val="47"/>
              <w:keepNext w:val="0"/>
              <w:keepLines w:val="0"/>
              <w:pageBreakBefore w:val="0"/>
              <w:widowControl w:val="0"/>
              <w:kinsoku/>
              <w:wordWrap/>
              <w:overflowPunct/>
              <w:topLinePunct w:val="0"/>
              <w:autoSpaceDE/>
              <w:autoSpaceDN/>
              <w:bidi w:val="0"/>
              <w:adjustRightInd/>
              <w:snapToGrid/>
              <w:spacing w:line="360" w:lineRule="exact"/>
              <w:jc w:val="both"/>
              <w:textAlignment w:val="center"/>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严格控制开发规模，地下空间开发建设必须进行详细的工程论证及评估，并应采取合理的施工工艺和防水止水措施。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852" w:type="pct"/>
            <w:vAlign w:val="center"/>
          </w:tcPr>
          <w:p>
            <w:pPr>
              <w:pStyle w:val="47"/>
              <w:keepNext w:val="0"/>
              <w:keepLines w:val="0"/>
              <w:pageBreakBefore w:val="0"/>
              <w:widowControl w:val="0"/>
              <w:kinsoku/>
              <w:wordWrap/>
              <w:overflowPunct/>
              <w:topLinePunct w:val="0"/>
              <w:autoSpaceDE/>
              <w:autoSpaceDN/>
              <w:bidi w:val="0"/>
              <w:adjustRightInd/>
              <w:snapToGrid/>
              <w:spacing w:line="360" w:lineRule="exact"/>
              <w:textAlignment w:val="center"/>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慎建区</w:t>
            </w:r>
          </w:p>
        </w:tc>
        <w:tc>
          <w:tcPr>
            <w:tcW w:w="2074" w:type="pct"/>
            <w:vAlign w:val="center"/>
          </w:tcPr>
          <w:p>
            <w:pPr>
              <w:pStyle w:val="47"/>
              <w:keepNext w:val="0"/>
              <w:keepLines w:val="0"/>
              <w:pageBreakBefore w:val="0"/>
              <w:widowControl w:val="0"/>
              <w:kinsoku/>
              <w:wordWrap/>
              <w:overflowPunct/>
              <w:topLinePunct w:val="0"/>
              <w:autoSpaceDE/>
              <w:autoSpaceDN/>
              <w:bidi w:val="0"/>
              <w:adjustRightInd/>
              <w:snapToGrid/>
              <w:spacing w:line="360" w:lineRule="exact"/>
              <w:jc w:val="both"/>
              <w:textAlignment w:val="center"/>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农林用地、河湖水域，以及工程地质条件极差区域和因保护需要慎重开发区域，属于地下工程建设危险区域。</w:t>
            </w:r>
          </w:p>
        </w:tc>
        <w:tc>
          <w:tcPr>
            <w:tcW w:w="2074" w:type="pct"/>
            <w:vAlign w:val="center"/>
          </w:tcPr>
          <w:p>
            <w:pPr>
              <w:pStyle w:val="47"/>
              <w:keepNext w:val="0"/>
              <w:keepLines w:val="0"/>
              <w:pageBreakBefore w:val="0"/>
              <w:widowControl w:val="0"/>
              <w:kinsoku/>
              <w:wordWrap/>
              <w:overflowPunct/>
              <w:topLinePunct w:val="0"/>
              <w:autoSpaceDE/>
              <w:autoSpaceDN/>
              <w:bidi w:val="0"/>
              <w:adjustRightInd/>
              <w:snapToGrid/>
              <w:spacing w:line="360" w:lineRule="exact"/>
              <w:jc w:val="both"/>
              <w:textAlignment w:val="center"/>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原则上不宜进行地下空间开发，如有特殊地下工程设施，例如重大基础设施，线性市政设施等，必须进行严格的可行性研究和选址论证。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852" w:type="pct"/>
            <w:vAlign w:val="center"/>
          </w:tcPr>
          <w:p>
            <w:pPr>
              <w:pStyle w:val="47"/>
              <w:keepNext w:val="0"/>
              <w:keepLines w:val="0"/>
              <w:pageBreakBefore w:val="0"/>
              <w:widowControl w:val="0"/>
              <w:kinsoku/>
              <w:wordWrap/>
              <w:overflowPunct/>
              <w:topLinePunct w:val="0"/>
              <w:autoSpaceDE/>
              <w:autoSpaceDN/>
              <w:bidi w:val="0"/>
              <w:adjustRightInd/>
              <w:snapToGrid/>
              <w:spacing w:line="360" w:lineRule="exact"/>
              <w:textAlignment w:val="center"/>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已建区</w:t>
            </w:r>
          </w:p>
        </w:tc>
        <w:tc>
          <w:tcPr>
            <w:tcW w:w="2074" w:type="pct"/>
            <w:vAlign w:val="center"/>
          </w:tcPr>
          <w:p>
            <w:pPr>
              <w:pStyle w:val="47"/>
              <w:keepNext w:val="0"/>
              <w:keepLines w:val="0"/>
              <w:pageBreakBefore w:val="0"/>
              <w:widowControl w:val="0"/>
              <w:kinsoku/>
              <w:wordWrap/>
              <w:overflowPunct/>
              <w:topLinePunct w:val="0"/>
              <w:autoSpaceDE/>
              <w:autoSpaceDN/>
              <w:bidi w:val="0"/>
              <w:adjustRightInd/>
              <w:snapToGrid/>
              <w:spacing w:line="360" w:lineRule="exact"/>
              <w:jc w:val="both"/>
              <w:textAlignment w:val="center"/>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现状已经进行（包括已批复）地下空间开发建设的区域。</w:t>
            </w:r>
          </w:p>
        </w:tc>
        <w:tc>
          <w:tcPr>
            <w:tcW w:w="2074" w:type="pct"/>
            <w:vAlign w:val="center"/>
          </w:tcPr>
          <w:p>
            <w:pPr>
              <w:pStyle w:val="47"/>
              <w:keepNext w:val="0"/>
              <w:keepLines w:val="0"/>
              <w:pageBreakBefore w:val="0"/>
              <w:widowControl w:val="0"/>
              <w:kinsoku/>
              <w:wordWrap/>
              <w:overflowPunct/>
              <w:topLinePunct w:val="0"/>
              <w:autoSpaceDE/>
              <w:autoSpaceDN/>
              <w:bidi w:val="0"/>
              <w:adjustRightInd/>
              <w:snapToGrid/>
              <w:spacing w:line="360" w:lineRule="exact"/>
              <w:jc w:val="both"/>
              <w:textAlignment w:val="center"/>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综合协调已建区的空间联系，优化功能布局，完善配套设施，加强内部环境整治。</w:t>
            </w:r>
          </w:p>
        </w:tc>
      </w:tr>
    </w:tbl>
    <w:p>
      <w:pPr>
        <w:pStyle w:val="26"/>
        <w:numPr>
          <w:ilvl w:val="0"/>
          <w:numId w:val="0"/>
        </w:numPr>
        <w:rPr>
          <w:rFonts w:hint="eastAsia" w:ascii="仿宋_GB2312" w:hAnsi="仿宋_GB2312" w:cs="仿宋_GB2312"/>
          <w:b/>
          <w:bCs/>
          <w:sz w:val="32"/>
          <w:szCs w:val="32"/>
          <w:lang w:val="zh-CN"/>
        </w:rPr>
      </w:pPr>
    </w:p>
    <w:p>
      <w:pPr>
        <w:pStyle w:val="26"/>
        <w:numPr>
          <w:ilvl w:val="0"/>
          <w:numId w:val="0"/>
        </w:numPr>
        <w:ind w:firstLine="640" w:firstLineChars="200"/>
        <w:rPr>
          <w:rFonts w:hint="eastAsia" w:ascii="黑体" w:hAnsi="黑体" w:eastAsia="黑体" w:cs="黑体"/>
          <w:b w:val="0"/>
          <w:bCs w:val="0"/>
          <w:sz w:val="32"/>
          <w:szCs w:val="32"/>
          <w:lang w:val="zh-CN"/>
        </w:rPr>
      </w:pPr>
      <w:r>
        <w:rPr>
          <w:rFonts w:hint="eastAsia" w:ascii="黑体" w:hAnsi="黑体" w:eastAsia="黑体" w:cs="黑体"/>
          <w:b w:val="0"/>
          <w:bCs w:val="0"/>
          <w:sz w:val="32"/>
          <w:szCs w:val="32"/>
          <w:lang w:val="zh-CN"/>
        </w:rPr>
        <w:t>八、地下空间需求等级分区</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通过地下空间开发价值评价，将上党区地下空间划分为4个需求等级分区。地下空间需求等级分区是地下空间利用与空间布局的重要依据。</w:t>
      </w:r>
    </w:p>
    <w:p>
      <w:pPr>
        <w:ind w:firstLine="6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w:t>
      </w:r>
      <w:r>
        <w:rPr>
          <w:rFonts w:hint="eastAsia" w:ascii="仿宋_GB2312" w:hAnsi="仿宋_GB2312" w:cs="仿宋_GB2312"/>
          <w:b/>
          <w:bCs/>
          <w:sz w:val="32"/>
          <w:szCs w:val="32"/>
          <w:lang w:eastAsia="zh-CN"/>
        </w:rPr>
        <w:t>一</w:t>
      </w:r>
      <w:r>
        <w:rPr>
          <w:rFonts w:hint="eastAsia" w:ascii="仿宋_GB2312" w:hAnsi="仿宋_GB2312" w:eastAsia="仿宋_GB2312" w:cs="仿宋_GB2312"/>
          <w:b/>
          <w:bCs/>
          <w:sz w:val="32"/>
          <w:szCs w:val="32"/>
        </w:rPr>
        <w:t>）一级需求区</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对地下空间开发利用的需求度最高，位于上党区商业中心、行政中心等城市公共功能集聚地段，开发强度较高地区，经地下空间开发价值评价，是未来地下空间开发需求最大区域。</w:t>
      </w:r>
    </w:p>
    <w:p>
      <w:pPr>
        <w:ind w:firstLine="6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w:t>
      </w:r>
      <w:r>
        <w:rPr>
          <w:rFonts w:hint="eastAsia" w:ascii="仿宋_GB2312" w:hAnsi="仿宋_GB2312" w:cs="仿宋_GB2312"/>
          <w:b/>
          <w:bCs/>
          <w:sz w:val="32"/>
          <w:szCs w:val="32"/>
          <w:lang w:eastAsia="zh-CN"/>
        </w:rPr>
        <w:t>二</w:t>
      </w:r>
      <w:r>
        <w:rPr>
          <w:rFonts w:hint="eastAsia" w:ascii="仿宋_GB2312" w:hAnsi="仿宋_GB2312" w:eastAsia="仿宋_GB2312" w:cs="仿宋_GB2312"/>
          <w:b/>
          <w:bCs/>
          <w:sz w:val="32"/>
          <w:szCs w:val="32"/>
        </w:rPr>
        <w:t>）二级需求区</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地下空间开发利用需求度较高，位于一级需求区外围公共活动相对频繁地段，经地下空间开发价值评价，是未来地下空间开发需求较大区域。满足停车、人防、设备等设施的配建要求，适当进行公共服务功能开发。</w:t>
      </w:r>
    </w:p>
    <w:p>
      <w:pPr>
        <w:ind w:firstLine="6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w:t>
      </w:r>
      <w:r>
        <w:rPr>
          <w:rFonts w:hint="eastAsia" w:ascii="仿宋_GB2312" w:hAnsi="仿宋_GB2312" w:cs="仿宋_GB2312"/>
          <w:b/>
          <w:bCs/>
          <w:sz w:val="32"/>
          <w:szCs w:val="32"/>
          <w:lang w:eastAsia="zh-CN"/>
        </w:rPr>
        <w:t>三</w:t>
      </w:r>
      <w:r>
        <w:rPr>
          <w:rFonts w:hint="eastAsia" w:ascii="仿宋_GB2312" w:hAnsi="仿宋_GB2312" w:eastAsia="仿宋_GB2312" w:cs="仿宋_GB2312"/>
          <w:b/>
          <w:bCs/>
          <w:sz w:val="32"/>
          <w:szCs w:val="32"/>
        </w:rPr>
        <w:t>）三级需求区</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对地下空间开发利用的需求性一般或较低，经地下空间开发价值评价，是未来地下空间开发需求较低区域。一般仅作少量地下空间配建。主要集中于地面空间开发限制的区域，无特殊需求不宜开发。</w:t>
      </w:r>
    </w:p>
    <w:p>
      <w:pPr>
        <w:ind w:firstLine="6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w:t>
      </w:r>
      <w:r>
        <w:rPr>
          <w:rFonts w:hint="eastAsia" w:ascii="仿宋_GB2312" w:hAnsi="仿宋_GB2312" w:cs="仿宋_GB2312"/>
          <w:b/>
          <w:bCs/>
          <w:sz w:val="32"/>
          <w:szCs w:val="32"/>
          <w:lang w:eastAsia="zh-CN"/>
        </w:rPr>
        <w:t>四</w:t>
      </w:r>
      <w:r>
        <w:rPr>
          <w:rFonts w:hint="eastAsia" w:ascii="仿宋_GB2312" w:hAnsi="仿宋_GB2312" w:eastAsia="仿宋_GB2312" w:cs="仿宋_GB2312"/>
          <w:b/>
          <w:bCs/>
          <w:sz w:val="32"/>
          <w:szCs w:val="32"/>
        </w:rPr>
        <w:t>）四级需求区</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对地下空间开发利用的需求性较低，位于三级需求区以外的建设用地，主要集中于地面空间开发限制的区域，无特殊需求不宜开发。</w:t>
      </w:r>
    </w:p>
    <w:p>
      <w:pPr>
        <w:spacing w:before="156" w:beforeLines="50"/>
        <w:ind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2511425" cy="4095115"/>
            <wp:effectExtent l="0" t="0" r="3175" b="635"/>
            <wp:docPr id="17551409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140923" name="图片 1"/>
                    <pic:cNvPicPr>
                      <a:picLocks noChangeAspect="1"/>
                    </pic:cNvPicPr>
                  </pic:nvPicPr>
                  <pic:blipFill>
                    <a:blip r:embed="rId16"/>
                    <a:stretch>
                      <a:fillRect/>
                    </a:stretch>
                  </pic:blipFill>
                  <pic:spPr>
                    <a:xfrm>
                      <a:off x="0" y="0"/>
                      <a:ext cx="2511538" cy="4095115"/>
                    </a:xfrm>
                    <a:prstGeom prst="rect">
                      <a:avLst/>
                    </a:prstGeom>
                  </pic:spPr>
                </pic:pic>
              </a:graphicData>
            </a:graphic>
          </wp:inline>
        </w:drawing>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w:drawing>
          <wp:inline distT="0" distB="0" distL="0" distR="0">
            <wp:extent cx="2503170" cy="4093845"/>
            <wp:effectExtent l="0" t="0" r="11430" b="1905"/>
            <wp:docPr id="19480123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012314" name="图片 1"/>
                    <pic:cNvPicPr>
                      <a:picLocks noChangeAspect="1"/>
                    </pic:cNvPicPr>
                  </pic:nvPicPr>
                  <pic:blipFill>
                    <a:blip r:embed="rId17"/>
                    <a:stretch>
                      <a:fillRect/>
                    </a:stretch>
                  </pic:blipFill>
                  <pic:spPr>
                    <a:xfrm>
                      <a:off x="0" y="0"/>
                      <a:ext cx="2503653" cy="4093845"/>
                    </a:xfrm>
                    <a:prstGeom prst="rect">
                      <a:avLst/>
                    </a:prstGeom>
                  </pic:spPr>
                </pic:pic>
              </a:graphicData>
            </a:graphic>
          </wp:inline>
        </w:drawing>
      </w:r>
    </w:p>
    <w:p>
      <w:pPr>
        <w:pStyle w:val="6"/>
        <w:ind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图</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上党区地下空间开发控制图（左）、上党区地下空间需求等级分区图（右）</w:t>
      </w:r>
    </w:p>
    <w:p>
      <w:pPr>
        <w:pStyle w:val="26"/>
        <w:numPr>
          <w:ilvl w:val="0"/>
          <w:numId w:val="0"/>
        </w:numPr>
        <w:ind w:firstLine="640" w:firstLineChars="200"/>
        <w:rPr>
          <w:rFonts w:hint="eastAsia" w:ascii="黑体" w:hAnsi="黑体" w:eastAsia="黑体" w:cs="黑体"/>
          <w:b w:val="0"/>
          <w:bCs w:val="0"/>
          <w:sz w:val="32"/>
          <w:szCs w:val="32"/>
          <w:lang w:val="zh-CN"/>
        </w:rPr>
      </w:pPr>
      <w:r>
        <w:rPr>
          <w:rFonts w:hint="eastAsia" w:ascii="黑体" w:hAnsi="黑体" w:eastAsia="黑体" w:cs="黑体"/>
          <w:b w:val="0"/>
          <w:bCs w:val="0"/>
          <w:sz w:val="32"/>
          <w:szCs w:val="32"/>
          <w:lang w:val="zh-CN"/>
        </w:rPr>
        <w:t>九、地下空间开发需求规模</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城市地下空间规划标准》(GB/T51358-2019)，城市地下空间总体规划需求分析受城市经济发展水平、用地条件和人口规模等因素影响较大,其中用地条件包括城市地下空间人均建筑面积指标、地下空间适建区面积占建筑用地面积的比例两个要素。</w:t>
      </w:r>
    </w:p>
    <w:p>
      <w:pPr>
        <w:ind w:firstLine="211" w:firstLineChars="66"/>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drawing>
          <wp:inline distT="0" distB="0" distL="0" distR="0">
            <wp:extent cx="5232400" cy="1943100"/>
            <wp:effectExtent l="0" t="0" r="6350" b="0"/>
            <wp:docPr id="7750222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022298" name="图片 1"/>
                    <pic:cNvPicPr>
                      <a:picLocks noChangeAspect="1"/>
                    </pic:cNvPicPr>
                  </pic:nvPicPr>
                  <pic:blipFill>
                    <a:blip r:embed="rId18">
                      <a:duotone>
                        <a:schemeClr val="accent5">
                          <a:shade val="45000"/>
                          <a:satMod val="135000"/>
                        </a:schemeClr>
                        <a:prstClr val="white"/>
                      </a:duotone>
                    </a:blip>
                    <a:stretch>
                      <a:fillRect/>
                    </a:stretch>
                  </pic:blipFill>
                  <pic:spPr>
                    <a:xfrm>
                      <a:off x="0" y="0"/>
                      <a:ext cx="5244920" cy="1947749"/>
                    </a:xfrm>
                    <a:prstGeom prst="rect">
                      <a:avLst/>
                    </a:prstGeom>
                  </pic:spPr>
                </pic:pic>
              </a:graphicData>
            </a:graphic>
          </wp:inline>
        </w:drawing>
      </w:r>
    </w:p>
    <w:p>
      <w:pPr>
        <w:pStyle w:val="6"/>
        <w:ind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图</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上党区地下空间规模计算图</w:t>
      </w:r>
    </w:p>
    <w:p>
      <w:pPr>
        <w:ind w:firstLine="48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计算公式：地下空间利用总体规模=规划区人口规模*城市地下空间人均建筑面积指标*社会经济发展水平系数*地下空间开发利用系数</w:t>
      </w:r>
    </w:p>
    <w:p>
      <w:pPr>
        <w:pStyle w:val="26"/>
        <w:numPr>
          <w:ilvl w:val="0"/>
          <w:numId w:val="0"/>
        </w:numPr>
        <w:ind w:firstLine="640" w:firstLineChars="200"/>
        <w:rPr>
          <w:rFonts w:hint="eastAsia" w:ascii="黑体" w:hAnsi="黑体" w:eastAsia="黑体" w:cs="黑体"/>
          <w:b w:val="0"/>
          <w:bCs w:val="0"/>
          <w:sz w:val="32"/>
          <w:szCs w:val="32"/>
          <w:lang w:val="zh-CN"/>
        </w:rPr>
      </w:pPr>
      <w:r>
        <w:rPr>
          <w:rFonts w:hint="eastAsia" w:ascii="黑体" w:hAnsi="黑体" w:eastAsia="黑体" w:cs="黑体"/>
          <w:b w:val="0"/>
          <w:bCs w:val="0"/>
          <w:sz w:val="32"/>
          <w:szCs w:val="32"/>
          <w:lang w:val="zh-CN"/>
        </w:rPr>
        <w:t>十、地下空间总体结构布局</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沿光明路，开发沿路重点地区周边地下空间，形成“一心聚核，双轴引领，多片发展”地下空间总体结构。</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一心聚核：指依托凯德世家广场、中元体育运动场、生态休闲运动馆共同打造集交通，景观，商务，商业，公共服务综合一体的城市立体核心；</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双轴引领：一轴依托学府路至高铁站沿线的东西向地下空间发展轴。另一轴由城市城市主干道光明路，由南向北串联沿线地下空间开发利用发展轴；</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多片发展：指长治南站、苏店镇、神农生态园三大组团中多种类型未来地下空间发展及服务节点。</w:t>
      </w:r>
    </w:p>
    <w:p>
      <w:pPr>
        <w:ind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813810" cy="5596255"/>
            <wp:effectExtent l="0" t="0" r="15240" b="4445"/>
            <wp:docPr id="20514687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468757" name="图片 1"/>
                    <pic:cNvPicPr>
                      <a:picLocks noChangeAspect="1"/>
                    </pic:cNvPicPr>
                  </pic:nvPicPr>
                  <pic:blipFill>
                    <a:blip r:embed="rId19"/>
                    <a:stretch>
                      <a:fillRect/>
                    </a:stretch>
                  </pic:blipFill>
                  <pic:spPr>
                    <a:xfrm>
                      <a:off x="0" y="0"/>
                      <a:ext cx="3813810" cy="5596255"/>
                    </a:xfrm>
                    <a:prstGeom prst="rect">
                      <a:avLst/>
                    </a:prstGeom>
                  </pic:spPr>
                </pic:pic>
              </a:graphicData>
            </a:graphic>
          </wp:inline>
        </w:drawing>
      </w:r>
    </w:p>
    <w:p>
      <w:pPr>
        <w:pStyle w:val="6"/>
        <w:ind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图</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上党区地下空间总体结构布局图</w:t>
      </w:r>
    </w:p>
    <w:p>
      <w:pPr>
        <w:pStyle w:val="26"/>
        <w:numPr>
          <w:ilvl w:val="0"/>
          <w:numId w:val="0"/>
        </w:numPr>
        <w:ind w:firstLine="640" w:firstLineChars="200"/>
        <w:rPr>
          <w:rFonts w:hint="eastAsia" w:ascii="黑体" w:hAnsi="黑体" w:eastAsia="黑体" w:cs="黑体"/>
          <w:b w:val="0"/>
          <w:bCs w:val="0"/>
          <w:sz w:val="32"/>
          <w:szCs w:val="32"/>
          <w:lang w:val="zh-CN"/>
        </w:rPr>
      </w:pPr>
      <w:r>
        <w:rPr>
          <w:rFonts w:hint="eastAsia" w:ascii="黑体" w:hAnsi="黑体" w:eastAsia="黑体" w:cs="黑体"/>
          <w:b w:val="0"/>
          <w:bCs w:val="0"/>
          <w:sz w:val="32"/>
          <w:szCs w:val="32"/>
          <w:lang w:val="zh-CN"/>
        </w:rPr>
        <w:t>十一、地下空间功能分区</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在地下空间需求等级的基础上，将上党区中心城区地下空间分为重点开发利用管控区、鼓励开发利用管控区、一般开发利用管控区和预留储备管控区四类功能区，针对四类功能区分别制定相应的分区控制策略。</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4956810" cy="7310120"/>
            <wp:effectExtent l="0" t="0" r="15240" b="5080"/>
            <wp:docPr id="17626531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653191" name="图片 1"/>
                    <pic:cNvPicPr>
                      <a:picLocks noChangeAspect="1"/>
                    </pic:cNvPicPr>
                  </pic:nvPicPr>
                  <pic:blipFill>
                    <a:blip r:embed="rId20"/>
                    <a:stretch>
                      <a:fillRect/>
                    </a:stretch>
                  </pic:blipFill>
                  <pic:spPr>
                    <a:xfrm>
                      <a:off x="0" y="0"/>
                      <a:ext cx="4957200" cy="7310120"/>
                    </a:xfrm>
                    <a:prstGeom prst="rect">
                      <a:avLst/>
                    </a:prstGeom>
                  </pic:spPr>
                </pic:pic>
              </a:graphicData>
            </a:graphic>
          </wp:inline>
        </w:drawing>
      </w:r>
    </w:p>
    <w:p>
      <w:pPr>
        <w:pStyle w:val="6"/>
        <w:ind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图</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上党区地下空间总体结构布局图</w:t>
      </w:r>
    </w:p>
    <w:p>
      <w:pPr>
        <w:ind w:left="0" w:leftChars="0" w:firstLine="0" w:firstLineChars="0"/>
        <w:rPr>
          <w:rFonts w:hint="eastAsia" w:ascii="仿宋_GB2312" w:hAnsi="仿宋_GB2312" w:eastAsia="仿宋_GB2312" w:cs="仿宋_GB2312"/>
          <w:sz w:val="32"/>
          <w:szCs w:val="32"/>
        </w:rPr>
      </w:pPr>
    </w:p>
    <w:p>
      <w:pPr>
        <w:pStyle w:val="6"/>
        <w:ind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表</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地下空间开发功能分区一览表</w:t>
      </w:r>
    </w:p>
    <w:tbl>
      <w:tblPr>
        <w:tblStyle w:val="22"/>
        <w:tblpPr w:leftFromText="180" w:rightFromText="180" w:vertAnchor="text" w:horzAnchor="page" w:tblpX="1632" w:tblpY="2819"/>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0"/>
        <w:gridCol w:w="3932"/>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atLeast"/>
        </w:trPr>
        <w:tc>
          <w:tcPr>
            <w:tcW w:w="1279" w:type="pct"/>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b/>
                <w:bCs/>
                <w:kern w:val="0"/>
                <w:sz w:val="32"/>
                <w:szCs w:val="32"/>
              </w:rPr>
              <w:t>管控类型</w:t>
            </w:r>
          </w:p>
        </w:tc>
        <w:tc>
          <w:tcPr>
            <w:tcW w:w="2307" w:type="pct"/>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b/>
                <w:bCs/>
                <w:kern w:val="0"/>
                <w:sz w:val="32"/>
                <w:szCs w:val="32"/>
              </w:rPr>
              <w:t>建设范围</w:t>
            </w:r>
          </w:p>
        </w:tc>
        <w:tc>
          <w:tcPr>
            <w:tcW w:w="1415" w:type="pct"/>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b/>
                <w:bCs/>
                <w:kern w:val="0"/>
                <w:sz w:val="32"/>
                <w:szCs w:val="32"/>
              </w:rPr>
              <w:t>开发思路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atLeast"/>
        </w:trPr>
        <w:tc>
          <w:tcPr>
            <w:tcW w:w="1279" w:type="pct"/>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b/>
                <w:bCs/>
                <w:kern w:val="0"/>
                <w:sz w:val="32"/>
                <w:szCs w:val="32"/>
              </w:rPr>
              <w:t>重点开发管控区</w:t>
            </w:r>
          </w:p>
        </w:tc>
        <w:tc>
          <w:tcPr>
            <w:tcW w:w="2307" w:type="pct"/>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公共功能集中地区以及人流活动密集、建设强度高的地区</w:t>
            </w:r>
          </w:p>
        </w:tc>
        <w:tc>
          <w:tcPr>
            <w:tcW w:w="1415" w:type="pct"/>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强调对地下连通性的强制控制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atLeast"/>
        </w:trPr>
        <w:tc>
          <w:tcPr>
            <w:tcW w:w="1279" w:type="pct"/>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b/>
                <w:bCs/>
                <w:kern w:val="0"/>
                <w:sz w:val="32"/>
                <w:szCs w:val="32"/>
              </w:rPr>
              <w:t>鼓励开发管控区</w:t>
            </w:r>
          </w:p>
        </w:tc>
        <w:tc>
          <w:tcPr>
            <w:tcW w:w="2307" w:type="pct"/>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重点利用地区外围公共功能相对集中的地区涉及各类地下专项设施建设地区</w:t>
            </w:r>
          </w:p>
        </w:tc>
        <w:tc>
          <w:tcPr>
            <w:tcW w:w="1415" w:type="pct"/>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强调对地下连通性的引导控制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atLeast"/>
        </w:trPr>
        <w:tc>
          <w:tcPr>
            <w:tcW w:w="1279" w:type="pct"/>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b/>
                <w:bCs/>
                <w:kern w:val="0"/>
                <w:sz w:val="32"/>
                <w:szCs w:val="32"/>
              </w:rPr>
              <w:t>一般开发管控区</w:t>
            </w:r>
          </w:p>
        </w:tc>
        <w:tc>
          <w:tcPr>
            <w:tcW w:w="2307" w:type="pct"/>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重点开发地区、鼓励开发地区外无地质、文物等限制地区</w:t>
            </w:r>
          </w:p>
        </w:tc>
        <w:tc>
          <w:tcPr>
            <w:tcW w:w="1415" w:type="pct"/>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针对地面功能补充与完善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atLeast"/>
        </w:trPr>
        <w:tc>
          <w:tcPr>
            <w:tcW w:w="1279" w:type="pct"/>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b/>
                <w:bCs/>
                <w:kern w:val="0"/>
                <w:sz w:val="32"/>
                <w:szCs w:val="32"/>
              </w:rPr>
              <w:t>预留储管控区</w:t>
            </w:r>
          </w:p>
        </w:tc>
        <w:tc>
          <w:tcPr>
            <w:tcW w:w="2307" w:type="pct"/>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其他需求等级低、适建性较好地区</w:t>
            </w:r>
          </w:p>
        </w:tc>
        <w:tc>
          <w:tcPr>
            <w:tcW w:w="1415" w:type="pct"/>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作为规划弹性预留区域</w:t>
            </w:r>
          </w:p>
        </w:tc>
      </w:tr>
    </w:tbl>
    <w:p>
      <w:pPr>
        <w:pStyle w:val="26"/>
        <w:numPr>
          <w:ilvl w:val="0"/>
          <w:numId w:val="0"/>
        </w:numPr>
        <w:ind w:firstLine="640" w:firstLineChars="200"/>
        <w:rPr>
          <w:rFonts w:hint="eastAsia" w:ascii="黑体" w:hAnsi="黑体" w:eastAsia="黑体" w:cs="黑体"/>
          <w:b w:val="0"/>
          <w:bCs w:val="0"/>
          <w:sz w:val="32"/>
          <w:szCs w:val="32"/>
          <w:lang w:val="zh-CN"/>
        </w:rPr>
      </w:pPr>
      <w:r>
        <w:rPr>
          <w:rFonts w:hint="eastAsia" w:ascii="黑体" w:hAnsi="黑体" w:eastAsia="黑体" w:cs="黑体"/>
          <w:b w:val="0"/>
          <w:bCs w:val="0"/>
          <w:sz w:val="32"/>
          <w:szCs w:val="32"/>
          <w:lang w:val="zh-CN"/>
        </w:rPr>
        <w:t>十二、地下空间竖向</w:t>
      </w:r>
      <w:r>
        <w:rPr>
          <w:rFonts w:hint="eastAsia" w:ascii="黑体" w:hAnsi="黑体" w:eastAsia="黑体" w:cs="黑体"/>
          <w:b w:val="0"/>
          <w:bCs w:val="0"/>
          <w:sz w:val="32"/>
          <w:szCs w:val="32"/>
        </w:rPr>
        <w:t>功能布局</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以浅层开发为主，次浅层适当开发利用。加强以城市重点功能区为节点的地下空间开发利用。以中心城区内进行较为密集开发的地区为重点，统筹浅层和次浅层2个深度。</w:t>
      </w:r>
    </w:p>
    <w:p>
      <w:pPr>
        <w:ind w:left="318" w:leftChars="106"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以地下浅层空间（0～-10米）开发，主要为地下公共活动、地下公共服务、地下停车、地下市政管线、综合管廊、地下道路和人防工程为主。</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地下次浅层空间（-10～-30米）资源适当开发利用，以地下市政工程管线及设施，人防工程为主。</w:t>
      </w:r>
    </w:p>
    <w:p>
      <w:pPr>
        <w:spacing w:before="156" w:beforeLines="50"/>
        <w:ind w:firstLine="211" w:firstLineChars="6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4134485"/>
            <wp:effectExtent l="0" t="0" r="2540" b="0"/>
            <wp:docPr id="4045983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598385" name="图片 1"/>
                    <pic:cNvPicPr>
                      <a:picLocks noChangeAspect="1"/>
                    </pic:cNvPicPr>
                  </pic:nvPicPr>
                  <pic:blipFill>
                    <a:blip r:embed="rId21"/>
                    <a:stretch>
                      <a:fillRect/>
                    </a:stretch>
                  </pic:blipFill>
                  <pic:spPr>
                    <a:xfrm>
                      <a:off x="0" y="0"/>
                      <a:ext cx="5274310" cy="4134485"/>
                    </a:xfrm>
                    <a:prstGeom prst="rect">
                      <a:avLst/>
                    </a:prstGeom>
                  </pic:spPr>
                </pic:pic>
              </a:graphicData>
            </a:graphic>
          </wp:inline>
        </w:drawing>
      </w:r>
    </w:p>
    <w:p>
      <w:pPr>
        <w:pStyle w:val="6"/>
        <w:ind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图</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上党区地下空间竖向规划图</w:t>
      </w:r>
    </w:p>
    <w:p>
      <w:pPr>
        <w:pStyle w:val="26"/>
        <w:numPr>
          <w:ilvl w:val="0"/>
          <w:numId w:val="0"/>
        </w:numPr>
        <w:ind w:firstLine="643" w:firstLineChars="200"/>
        <w:rPr>
          <w:rFonts w:hint="eastAsia" w:ascii="仿宋_GB2312" w:hAnsi="仿宋_GB2312" w:eastAsia="仿宋_GB2312" w:cs="仿宋_GB2312"/>
          <w:b/>
          <w:bCs/>
          <w:sz w:val="32"/>
          <w:szCs w:val="32"/>
          <w:lang w:val="zh-CN"/>
        </w:rPr>
      </w:pPr>
      <w:r>
        <w:rPr>
          <w:rFonts w:hint="eastAsia" w:ascii="仿宋_GB2312" w:hAnsi="仿宋_GB2312" w:cs="仿宋_GB2312"/>
          <w:b/>
          <w:bCs/>
          <w:sz w:val="32"/>
          <w:szCs w:val="32"/>
          <w:lang w:val="zh-CN"/>
        </w:rPr>
        <w:t>十三、</w:t>
      </w:r>
      <w:r>
        <w:rPr>
          <w:rFonts w:hint="eastAsia" w:ascii="仿宋_GB2312" w:hAnsi="仿宋_GB2312" w:eastAsia="仿宋_GB2312" w:cs="仿宋_GB2312"/>
          <w:b/>
          <w:bCs/>
          <w:sz w:val="32"/>
          <w:szCs w:val="32"/>
          <w:lang w:val="zh-CN"/>
        </w:rPr>
        <w:t>地下空间管理体制保障</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本规划指导下，建议同步研究、开展地下空间相关技术规范和管理条例的编制，从“体制、机制、法治和权属”等方面提出实施保障措施，促进本规划的顺利实施，在现有行政体制的基础上，积极推进地下空间管理体制创新。</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由区政府牵头，增设区级地下空间综合管理的议事决策和综合协调机构—上党地下空间开发利用领导小组，负责统筹、协调上党地下空间开发利用。</w:t>
      </w:r>
    </w:p>
    <w:p>
      <w:pPr>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在现有政府行政机构设置的基础上，进一步明确地下空间综合管理机构的各组成职能部门，并明确各部门的职责和权限，严格依据本规划及相关要求承担规划实施的相关工作。</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00"/>
      </w:pPr>
      <w:r>
        <w:separator/>
      </w:r>
    </w:p>
  </w:endnote>
  <w:endnote w:type="continuationSeparator" w:id="1">
    <w:p>
      <w:pPr>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EU-B1"/>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EU-B1"/>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等线">
    <w:altName w:val="华文中宋"/>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等线">
    <w:altName w:val="仿宋_GB2312"/>
    <w:panose1 w:val="00000000000000000000"/>
    <w:charset w:val="86"/>
    <w:family w:val="auto"/>
    <w:pitch w:val="default"/>
    <w:sig w:usb0="00000000" w:usb1="00000000" w:usb2="00000000" w:usb3="00000000" w:csb0="00000000" w:csb1="00000000"/>
  </w:font>
  <w:font w:name="等线">
    <w:altName w:val="C059"/>
    <w:panose1 w:val="00000000000000000000"/>
    <w:charset w:val="00"/>
    <w:family w:val="auto"/>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方正小标宋_GBK">
    <w:panose1 w:val="02000000000000000000"/>
    <w:charset w:val="86"/>
    <w:family w:val="script"/>
    <w:pitch w:val="default"/>
    <w:sig w:usb0="00000001" w:usb1="08000000" w:usb2="00000000" w:usb3="00000000" w:csb0="00040000" w:csb1="00000000"/>
  </w:font>
  <w:font w:name="等线 Light">
    <w:altName w:val="华文中宋"/>
    <w:panose1 w:val="02010600030101010101"/>
    <w:charset w:val="86"/>
    <w:family w:val="auto"/>
    <w:pitch w:val="default"/>
    <w:sig w:usb0="00000000" w:usb1="00000000" w:usb2="00000016" w:usb3="00000000" w:csb0="0004000F" w:csb1="00000000"/>
  </w:font>
  <w:font w:name="楷体">
    <w:altName w:val="方正楷体_GBK"/>
    <w:panose1 w:val="02010609060101010101"/>
    <w:charset w:val="86"/>
    <w:family w:val="modern"/>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C059">
    <w:panose1 w:val="00000500000000000000"/>
    <w:charset w:val="00"/>
    <w:family w:val="auto"/>
    <w:pitch w:val="default"/>
    <w:sig w:usb0="00000287" w:usb1="00000800" w:usb2="00000000" w:usb3="00000000" w:csb0="6000009F" w:csb1="00000000"/>
  </w:font>
  <w:font w:name="等线 Light">
    <w:altName w:val="C059"/>
    <w:panose1 w:val="00000000000000000000"/>
    <w:charset w:val="00"/>
    <w:family w:val="auto"/>
    <w:pitch w:val="default"/>
    <w:sig w:usb0="00000000" w:usb1="00000000" w:usb2="00000000" w:usb3="00000000" w:csb0="00000000" w:csb1="0000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00"/>
      </w:pPr>
      <w:r>
        <w:separator/>
      </w:r>
    </w:p>
  </w:footnote>
  <w:footnote w:type="continuationSeparator" w:id="1">
    <w:p>
      <w:pPr>
        <w:ind w:firstLine="6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00"/>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F906A8D"/>
    <w:multiLevelType w:val="multilevel"/>
    <w:tmpl w:val="2F906A8D"/>
    <w:lvl w:ilvl="0" w:tentative="0">
      <w:start w:val="1"/>
      <w:numFmt w:val="decimal"/>
      <w:pStyle w:val="4"/>
      <w:lvlText w:val="第%1条"/>
      <w:lvlJc w:val="left"/>
      <w:pPr>
        <w:ind w:left="1155" w:hanging="735"/>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1">
    <w:nsid w:val="572D2DF9"/>
    <w:multiLevelType w:val="multilevel"/>
    <w:tmpl w:val="572D2DF9"/>
    <w:lvl w:ilvl="0" w:tentative="0">
      <w:start w:val="1"/>
      <w:numFmt w:val="decimal"/>
      <w:pStyle w:val="44"/>
      <w:lvlText w:val="表%1"/>
      <w:lvlJc w:val="left"/>
      <w:pPr>
        <w:ind w:left="420" w:hanging="420"/>
      </w:pPr>
      <w:rPr>
        <w:rFonts w:hint="eastAsia" w:eastAsia="黑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06D"/>
    <w:rsid w:val="00067F9F"/>
    <w:rsid w:val="000742DB"/>
    <w:rsid w:val="000B4C47"/>
    <w:rsid w:val="000C1A64"/>
    <w:rsid w:val="000D32CF"/>
    <w:rsid w:val="001003C8"/>
    <w:rsid w:val="00121395"/>
    <w:rsid w:val="001800AA"/>
    <w:rsid w:val="00197994"/>
    <w:rsid w:val="001A12E1"/>
    <w:rsid w:val="001B04AB"/>
    <w:rsid w:val="002415AC"/>
    <w:rsid w:val="002613CF"/>
    <w:rsid w:val="002704AE"/>
    <w:rsid w:val="002761E5"/>
    <w:rsid w:val="00277B96"/>
    <w:rsid w:val="00283B4A"/>
    <w:rsid w:val="003604E4"/>
    <w:rsid w:val="003D58D0"/>
    <w:rsid w:val="00411E4F"/>
    <w:rsid w:val="004517E9"/>
    <w:rsid w:val="004D5F40"/>
    <w:rsid w:val="0052176F"/>
    <w:rsid w:val="00537B5B"/>
    <w:rsid w:val="00592149"/>
    <w:rsid w:val="005A5A69"/>
    <w:rsid w:val="005C2E44"/>
    <w:rsid w:val="005C3785"/>
    <w:rsid w:val="005D09A6"/>
    <w:rsid w:val="00627E79"/>
    <w:rsid w:val="00636D8A"/>
    <w:rsid w:val="0065730B"/>
    <w:rsid w:val="007055DF"/>
    <w:rsid w:val="00785D94"/>
    <w:rsid w:val="007A626F"/>
    <w:rsid w:val="007B0FA3"/>
    <w:rsid w:val="007E303D"/>
    <w:rsid w:val="00813987"/>
    <w:rsid w:val="0084122F"/>
    <w:rsid w:val="008C2895"/>
    <w:rsid w:val="008E5338"/>
    <w:rsid w:val="008E6EDA"/>
    <w:rsid w:val="00913BB8"/>
    <w:rsid w:val="00952AD8"/>
    <w:rsid w:val="00992138"/>
    <w:rsid w:val="009C73C6"/>
    <w:rsid w:val="009E17F1"/>
    <w:rsid w:val="00A30E12"/>
    <w:rsid w:val="00A46AE4"/>
    <w:rsid w:val="00A5433D"/>
    <w:rsid w:val="00A8534D"/>
    <w:rsid w:val="00AB2EF2"/>
    <w:rsid w:val="00AD69ED"/>
    <w:rsid w:val="00AF12F3"/>
    <w:rsid w:val="00AF2F1C"/>
    <w:rsid w:val="00B21C49"/>
    <w:rsid w:val="00B362C0"/>
    <w:rsid w:val="00C34B21"/>
    <w:rsid w:val="00CA5848"/>
    <w:rsid w:val="00CD1DDF"/>
    <w:rsid w:val="00CD77C5"/>
    <w:rsid w:val="00D02010"/>
    <w:rsid w:val="00D030C9"/>
    <w:rsid w:val="00D17A3B"/>
    <w:rsid w:val="00D91393"/>
    <w:rsid w:val="00DA5004"/>
    <w:rsid w:val="00DE406D"/>
    <w:rsid w:val="00DF0B14"/>
    <w:rsid w:val="00DF3EE5"/>
    <w:rsid w:val="00E0416F"/>
    <w:rsid w:val="00E159C9"/>
    <w:rsid w:val="00E4583C"/>
    <w:rsid w:val="00E51488"/>
    <w:rsid w:val="00E538E7"/>
    <w:rsid w:val="00EA2D41"/>
    <w:rsid w:val="00EA4D0D"/>
    <w:rsid w:val="00EC0ED1"/>
    <w:rsid w:val="00EE788B"/>
    <w:rsid w:val="00EF7335"/>
    <w:rsid w:val="00F80283"/>
    <w:rsid w:val="00F97F0B"/>
    <w:rsid w:val="00FB2A59"/>
    <w:rsid w:val="00FD20A0"/>
    <w:rsid w:val="00FE0747"/>
    <w:rsid w:val="3BFB52DD"/>
    <w:rsid w:val="6F6F4D66"/>
    <w:rsid w:val="7EEF3F18"/>
    <w:rsid w:val="7F72B557"/>
    <w:rsid w:val="7F9CF2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eastAsia="仿宋_GB2312" w:asciiTheme="minorHAnsi" w:hAnsiTheme="minorHAnsi" w:cstheme="minorBidi"/>
      <w:kern w:val="2"/>
      <w:sz w:val="30"/>
      <w:szCs w:val="22"/>
      <w:lang w:val="en-US" w:eastAsia="zh-CN" w:bidi="ar-SA"/>
    </w:rPr>
  </w:style>
  <w:style w:type="paragraph" w:styleId="2">
    <w:name w:val="heading 1"/>
    <w:next w:val="1"/>
    <w:link w:val="27"/>
    <w:qFormat/>
    <w:uiPriority w:val="0"/>
    <w:pPr>
      <w:keepNext/>
      <w:keepLines/>
      <w:spacing w:before="340" w:after="330" w:line="578" w:lineRule="auto"/>
      <w:jc w:val="center"/>
      <w:outlineLvl w:val="0"/>
    </w:pPr>
    <w:rPr>
      <w:rFonts w:eastAsia="方正小标宋_GBK" w:asciiTheme="minorHAnsi" w:hAnsiTheme="minorHAnsi" w:cstheme="minorBidi"/>
      <w:bCs/>
      <w:kern w:val="44"/>
      <w:sz w:val="36"/>
      <w:szCs w:val="44"/>
      <w:lang w:val="zh-CN" w:eastAsia="zh-CN" w:bidi="ar-SA"/>
    </w:rPr>
  </w:style>
  <w:style w:type="paragraph" w:styleId="3">
    <w:name w:val="heading 2"/>
    <w:basedOn w:val="1"/>
    <w:next w:val="1"/>
    <w:link w:val="4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next w:val="1"/>
    <w:link w:val="28"/>
    <w:qFormat/>
    <w:uiPriority w:val="0"/>
    <w:pPr>
      <w:keepNext/>
      <w:keepLines/>
      <w:numPr>
        <w:ilvl w:val="0"/>
        <w:numId w:val="1"/>
      </w:numPr>
      <w:snapToGrid w:val="0"/>
      <w:spacing w:before="156" w:beforeLines="50" w:after="156" w:afterLines="50" w:line="560" w:lineRule="exact"/>
      <w:outlineLvl w:val="2"/>
    </w:pPr>
    <w:rPr>
      <w:rFonts w:ascii="黑体" w:hAnsi="黑体" w:eastAsia="楷体" w:cs="Times New Roman"/>
      <w:b/>
      <w:bCs/>
      <w:kern w:val="0"/>
      <w:sz w:val="32"/>
      <w:szCs w:val="20"/>
      <w:lang w:val="zh-CN" w:eastAsia="zh-CN" w:bidi="ar-SA"/>
    </w:rPr>
  </w:style>
  <w:style w:type="character" w:default="1" w:styleId="23">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autoRedefine/>
    <w:unhideWhenUsed/>
    <w:qFormat/>
    <w:uiPriority w:val="39"/>
    <w:pPr>
      <w:ind w:left="1800"/>
      <w:jc w:val="left"/>
    </w:pPr>
    <w:rPr>
      <w:rFonts w:eastAsiaTheme="minorHAnsi"/>
      <w:sz w:val="20"/>
      <w:szCs w:val="20"/>
    </w:rPr>
  </w:style>
  <w:style w:type="paragraph" w:styleId="6">
    <w:name w:val="caption"/>
    <w:basedOn w:val="1"/>
    <w:next w:val="1"/>
    <w:unhideWhenUsed/>
    <w:qFormat/>
    <w:uiPriority w:val="35"/>
    <w:rPr>
      <w:rFonts w:eastAsia="黑体" w:asciiTheme="majorHAnsi" w:hAnsiTheme="majorHAnsi" w:cstheme="majorBidi"/>
      <w:sz w:val="20"/>
      <w:szCs w:val="20"/>
    </w:rPr>
  </w:style>
  <w:style w:type="paragraph" w:styleId="7">
    <w:name w:val="annotation text"/>
    <w:basedOn w:val="1"/>
    <w:link w:val="29"/>
    <w:semiHidden/>
    <w:unhideWhenUsed/>
    <w:qFormat/>
    <w:uiPriority w:val="99"/>
    <w:pPr>
      <w:jc w:val="left"/>
    </w:pPr>
  </w:style>
  <w:style w:type="paragraph" w:styleId="8">
    <w:name w:val="toc 5"/>
    <w:basedOn w:val="1"/>
    <w:next w:val="1"/>
    <w:autoRedefine/>
    <w:unhideWhenUsed/>
    <w:qFormat/>
    <w:uiPriority w:val="39"/>
    <w:pPr>
      <w:ind w:left="1200"/>
      <w:jc w:val="left"/>
    </w:pPr>
    <w:rPr>
      <w:rFonts w:eastAsiaTheme="minorHAnsi"/>
      <w:sz w:val="20"/>
      <w:szCs w:val="20"/>
    </w:rPr>
  </w:style>
  <w:style w:type="paragraph" w:styleId="9">
    <w:name w:val="toc 3"/>
    <w:basedOn w:val="1"/>
    <w:next w:val="1"/>
    <w:autoRedefine/>
    <w:unhideWhenUsed/>
    <w:qFormat/>
    <w:uiPriority w:val="39"/>
    <w:pPr>
      <w:ind w:left="600"/>
      <w:jc w:val="left"/>
    </w:pPr>
    <w:rPr>
      <w:rFonts w:eastAsia="楷体"/>
      <w:sz w:val="32"/>
      <w:szCs w:val="20"/>
    </w:rPr>
  </w:style>
  <w:style w:type="paragraph" w:styleId="10">
    <w:name w:val="toc 8"/>
    <w:basedOn w:val="1"/>
    <w:next w:val="1"/>
    <w:autoRedefine/>
    <w:unhideWhenUsed/>
    <w:qFormat/>
    <w:uiPriority w:val="39"/>
    <w:pPr>
      <w:ind w:left="2100"/>
      <w:jc w:val="left"/>
    </w:pPr>
    <w:rPr>
      <w:rFonts w:eastAsiaTheme="minorHAnsi"/>
      <w:sz w:val="20"/>
      <w:szCs w:val="20"/>
    </w:rPr>
  </w:style>
  <w:style w:type="paragraph" w:styleId="11">
    <w:name w:val="footer"/>
    <w:basedOn w:val="1"/>
    <w:link w:val="32"/>
    <w:unhideWhenUsed/>
    <w:qFormat/>
    <w:uiPriority w:val="99"/>
    <w:pPr>
      <w:tabs>
        <w:tab w:val="center" w:pos="4153"/>
        <w:tab w:val="right" w:pos="8306"/>
      </w:tabs>
      <w:snapToGrid w:val="0"/>
      <w:jc w:val="left"/>
    </w:pPr>
    <w:rPr>
      <w:sz w:val="18"/>
      <w:szCs w:val="18"/>
    </w:rPr>
  </w:style>
  <w:style w:type="paragraph" w:styleId="12">
    <w:name w:val="header"/>
    <w:basedOn w:val="1"/>
    <w:link w:val="31"/>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next w:val="1"/>
    <w:autoRedefine/>
    <w:unhideWhenUsed/>
    <w:qFormat/>
    <w:uiPriority w:val="39"/>
    <w:pPr>
      <w:spacing w:before="120"/>
    </w:pPr>
    <w:rPr>
      <w:rFonts w:eastAsia="方正小标宋_GBK" w:asciiTheme="minorHAnsi" w:hAnsiTheme="minorHAnsi" w:cstheme="minorBidi"/>
      <w:bCs/>
      <w:iCs/>
      <w:kern w:val="2"/>
      <w:sz w:val="36"/>
      <w:szCs w:val="24"/>
      <w:lang w:val="en-US" w:eastAsia="zh-CN" w:bidi="ar-SA"/>
    </w:rPr>
  </w:style>
  <w:style w:type="paragraph" w:styleId="14">
    <w:name w:val="toc 4"/>
    <w:basedOn w:val="1"/>
    <w:next w:val="1"/>
    <w:autoRedefine/>
    <w:unhideWhenUsed/>
    <w:qFormat/>
    <w:uiPriority w:val="39"/>
    <w:pPr>
      <w:ind w:left="900"/>
      <w:jc w:val="left"/>
    </w:pPr>
    <w:rPr>
      <w:rFonts w:eastAsiaTheme="minorHAnsi"/>
      <w:sz w:val="20"/>
      <w:szCs w:val="20"/>
    </w:rPr>
  </w:style>
  <w:style w:type="paragraph" w:styleId="15">
    <w:name w:val="toc 6"/>
    <w:basedOn w:val="1"/>
    <w:next w:val="1"/>
    <w:autoRedefine/>
    <w:unhideWhenUsed/>
    <w:qFormat/>
    <w:uiPriority w:val="39"/>
    <w:pPr>
      <w:ind w:left="1500"/>
      <w:jc w:val="left"/>
    </w:pPr>
    <w:rPr>
      <w:rFonts w:eastAsiaTheme="minorHAnsi"/>
      <w:sz w:val="20"/>
      <w:szCs w:val="20"/>
    </w:rPr>
  </w:style>
  <w:style w:type="paragraph" w:styleId="16">
    <w:name w:val="table of figures"/>
    <w:basedOn w:val="1"/>
    <w:next w:val="1"/>
    <w:semiHidden/>
    <w:unhideWhenUsed/>
    <w:qFormat/>
    <w:uiPriority w:val="99"/>
    <w:pPr>
      <w:ind w:left="200" w:leftChars="200" w:hanging="200" w:hangingChars="200"/>
    </w:pPr>
  </w:style>
  <w:style w:type="paragraph" w:styleId="17">
    <w:name w:val="toc 2"/>
    <w:next w:val="1"/>
    <w:autoRedefine/>
    <w:unhideWhenUsed/>
    <w:qFormat/>
    <w:uiPriority w:val="39"/>
    <w:pPr>
      <w:spacing w:before="120"/>
      <w:ind w:left="300"/>
    </w:pPr>
    <w:rPr>
      <w:rFonts w:eastAsia="楷体" w:asciiTheme="minorHAnsi" w:hAnsiTheme="minorHAnsi" w:cstheme="minorBidi"/>
      <w:b/>
      <w:bCs/>
      <w:kern w:val="2"/>
      <w:sz w:val="32"/>
      <w:szCs w:val="22"/>
      <w:lang w:val="en-US" w:eastAsia="zh-CN" w:bidi="ar-SA"/>
    </w:rPr>
  </w:style>
  <w:style w:type="paragraph" w:styleId="18">
    <w:name w:val="toc 9"/>
    <w:basedOn w:val="1"/>
    <w:next w:val="1"/>
    <w:autoRedefine/>
    <w:unhideWhenUsed/>
    <w:qFormat/>
    <w:uiPriority w:val="39"/>
    <w:pPr>
      <w:ind w:left="2400"/>
      <w:jc w:val="left"/>
    </w:pPr>
    <w:rPr>
      <w:rFonts w:eastAsiaTheme="minorHAnsi"/>
      <w:sz w:val="20"/>
      <w:szCs w:val="20"/>
    </w:rPr>
  </w:style>
  <w:style w:type="paragraph" w:styleId="19">
    <w:name w:val="annotation subject"/>
    <w:basedOn w:val="7"/>
    <w:next w:val="7"/>
    <w:link w:val="30"/>
    <w:semiHidden/>
    <w:unhideWhenUsed/>
    <w:qFormat/>
    <w:uiPriority w:val="99"/>
    <w:rPr>
      <w:b/>
      <w:bCs/>
    </w:rPr>
  </w:style>
  <w:style w:type="table" w:styleId="21">
    <w:name w:val="Table Grid"/>
    <w:basedOn w:val="2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2">
    <w:name w:val="Table Theme"/>
    <w:basedOn w:val="2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Hyperlink"/>
    <w:basedOn w:val="23"/>
    <w:unhideWhenUsed/>
    <w:qFormat/>
    <w:uiPriority w:val="99"/>
    <w:rPr>
      <w:color w:val="0563C1" w:themeColor="hyperlink"/>
      <w:u w:val="single"/>
      <w14:textFill>
        <w14:solidFill>
          <w14:schemeClr w14:val="hlink"/>
        </w14:solidFill>
      </w14:textFill>
    </w:rPr>
  </w:style>
  <w:style w:type="character" w:styleId="25">
    <w:name w:val="annotation reference"/>
    <w:basedOn w:val="23"/>
    <w:semiHidden/>
    <w:unhideWhenUsed/>
    <w:qFormat/>
    <w:uiPriority w:val="99"/>
    <w:rPr>
      <w:sz w:val="21"/>
      <w:szCs w:val="21"/>
    </w:rPr>
  </w:style>
  <w:style w:type="paragraph" w:styleId="26">
    <w:name w:val="List Paragraph"/>
    <w:basedOn w:val="1"/>
    <w:qFormat/>
    <w:uiPriority w:val="34"/>
    <w:pPr>
      <w:ind w:firstLine="420"/>
    </w:pPr>
  </w:style>
  <w:style w:type="character" w:customStyle="1" w:styleId="27">
    <w:name w:val="标题 1 字符"/>
    <w:basedOn w:val="23"/>
    <w:link w:val="2"/>
    <w:qFormat/>
    <w:uiPriority w:val="0"/>
    <w:rPr>
      <w:rFonts w:eastAsia="方正小标宋_GBK"/>
      <w:bCs/>
      <w:kern w:val="44"/>
      <w:sz w:val="36"/>
      <w:szCs w:val="44"/>
      <w:lang w:val="zh-CN"/>
    </w:rPr>
  </w:style>
  <w:style w:type="character" w:customStyle="1" w:styleId="28">
    <w:name w:val="标题 3 字符"/>
    <w:basedOn w:val="23"/>
    <w:link w:val="4"/>
    <w:qFormat/>
    <w:uiPriority w:val="0"/>
    <w:rPr>
      <w:rFonts w:ascii="黑体" w:hAnsi="黑体" w:eastAsia="楷体" w:cs="Times New Roman"/>
      <w:b/>
      <w:bCs/>
      <w:kern w:val="0"/>
      <w:sz w:val="32"/>
      <w:szCs w:val="20"/>
      <w:lang w:val="zh-CN"/>
    </w:rPr>
  </w:style>
  <w:style w:type="character" w:customStyle="1" w:styleId="29">
    <w:name w:val="批注文字 字符"/>
    <w:basedOn w:val="23"/>
    <w:link w:val="7"/>
    <w:semiHidden/>
    <w:qFormat/>
    <w:uiPriority w:val="99"/>
  </w:style>
  <w:style w:type="character" w:customStyle="1" w:styleId="30">
    <w:name w:val="批注主题 字符"/>
    <w:basedOn w:val="29"/>
    <w:link w:val="19"/>
    <w:semiHidden/>
    <w:qFormat/>
    <w:uiPriority w:val="99"/>
    <w:rPr>
      <w:b/>
      <w:bCs/>
    </w:rPr>
  </w:style>
  <w:style w:type="character" w:customStyle="1" w:styleId="31">
    <w:name w:val="页眉 字符"/>
    <w:basedOn w:val="23"/>
    <w:link w:val="12"/>
    <w:qFormat/>
    <w:uiPriority w:val="99"/>
    <w:rPr>
      <w:rFonts w:eastAsia="仿宋_GB2312"/>
      <w:sz w:val="18"/>
      <w:szCs w:val="18"/>
    </w:rPr>
  </w:style>
  <w:style w:type="character" w:customStyle="1" w:styleId="32">
    <w:name w:val="页脚 字符"/>
    <w:basedOn w:val="23"/>
    <w:link w:val="11"/>
    <w:qFormat/>
    <w:uiPriority w:val="99"/>
    <w:rPr>
      <w:rFonts w:eastAsia="仿宋_GB2312"/>
      <w:sz w:val="18"/>
      <w:szCs w:val="18"/>
    </w:rPr>
  </w:style>
  <w:style w:type="paragraph" w:customStyle="1" w:styleId="33">
    <w:name w:val="TOC Heading"/>
    <w:basedOn w:val="2"/>
    <w:next w:val="1"/>
    <w:unhideWhenUsed/>
    <w:qFormat/>
    <w:uiPriority w:val="39"/>
    <w:pPr>
      <w:spacing w:before="240" w:after="0" w:line="259" w:lineRule="auto"/>
      <w:jc w:val="left"/>
      <w:outlineLvl w:val="9"/>
    </w:pPr>
    <w:rPr>
      <w:rFonts w:asciiTheme="majorHAnsi" w:hAnsiTheme="majorHAnsi" w:eastAsiaTheme="majorEastAsia" w:cstheme="majorBidi"/>
      <w:bCs w:val="0"/>
      <w:color w:val="2F5597" w:themeColor="accent1" w:themeShade="BF"/>
      <w:kern w:val="0"/>
      <w:sz w:val="32"/>
      <w:szCs w:val="32"/>
      <w:lang w:val="en-US"/>
    </w:rPr>
  </w:style>
  <w:style w:type="paragraph" w:styleId="34">
    <w:name w:val="No Spacing"/>
    <w:qFormat/>
    <w:uiPriority w:val="1"/>
    <w:pPr>
      <w:widowControl w:val="0"/>
      <w:ind w:firstLine="200" w:firstLineChars="200"/>
      <w:jc w:val="both"/>
    </w:pPr>
    <w:rPr>
      <w:rFonts w:eastAsia="仿宋_GB2312" w:asciiTheme="minorHAnsi" w:hAnsiTheme="minorHAnsi" w:cstheme="minorBidi"/>
      <w:kern w:val="2"/>
      <w:sz w:val="30"/>
      <w:szCs w:val="22"/>
      <w:lang w:val="en-US" w:eastAsia="zh-CN" w:bidi="ar-SA"/>
    </w:rPr>
  </w:style>
  <w:style w:type="paragraph" w:customStyle="1" w:styleId="35">
    <w:name w:val="封面"/>
    <w:link w:val="36"/>
    <w:qFormat/>
    <w:uiPriority w:val="0"/>
    <w:pPr>
      <w:spacing w:line="640" w:lineRule="exact"/>
      <w:jc w:val="right"/>
    </w:pPr>
    <w:rPr>
      <w:rFonts w:ascii="华文中宋" w:hAnsi="华文中宋" w:eastAsia="华文中宋" w:cs="Times New Roman"/>
      <w:kern w:val="2"/>
      <w:sz w:val="36"/>
      <w:szCs w:val="72"/>
      <w:lang w:val="en-US" w:eastAsia="zh-CN" w:bidi="ar-SA"/>
    </w:rPr>
  </w:style>
  <w:style w:type="character" w:customStyle="1" w:styleId="36">
    <w:name w:val="封面 字符"/>
    <w:basedOn w:val="23"/>
    <w:link w:val="35"/>
    <w:qFormat/>
    <w:uiPriority w:val="0"/>
    <w:rPr>
      <w:rFonts w:ascii="华文中宋" w:hAnsi="华文中宋" w:eastAsia="华文中宋" w:cs="Times New Roman"/>
      <w:sz w:val="36"/>
      <w:szCs w:val="72"/>
    </w:rPr>
  </w:style>
  <w:style w:type="paragraph" w:customStyle="1" w:styleId="37">
    <w:name w:val="表格"/>
    <w:link w:val="38"/>
    <w:qFormat/>
    <w:uiPriority w:val="0"/>
    <w:pPr>
      <w:adjustRightInd w:val="0"/>
      <w:snapToGrid w:val="0"/>
    </w:pPr>
    <w:rPr>
      <w:rFonts w:eastAsia="仿宋_GB2312" w:asciiTheme="minorHAnsi" w:hAnsiTheme="minorHAnsi" w:cstheme="minorBidi"/>
      <w:kern w:val="2"/>
      <w:sz w:val="21"/>
      <w:szCs w:val="16"/>
      <w:lang w:val="zh-CN" w:eastAsia="zh-CN" w:bidi="ar-SA"/>
    </w:rPr>
  </w:style>
  <w:style w:type="character" w:customStyle="1" w:styleId="38">
    <w:name w:val="表格 字符"/>
    <w:basedOn w:val="23"/>
    <w:link w:val="37"/>
    <w:qFormat/>
    <w:uiPriority w:val="0"/>
    <w:rPr>
      <w:rFonts w:eastAsia="仿宋_GB2312"/>
      <w:szCs w:val="16"/>
      <w:lang w:val="zh-CN"/>
    </w:rPr>
  </w:style>
  <w:style w:type="paragraph" w:customStyle="1" w:styleId="39">
    <w:name w:val="表格备注"/>
    <w:link w:val="40"/>
    <w:qFormat/>
    <w:uiPriority w:val="0"/>
    <w:pPr>
      <w:ind w:firstLine="420"/>
    </w:pPr>
    <w:rPr>
      <w:rFonts w:ascii="楷体" w:hAnsi="楷体" w:eastAsia="楷体" w:cstheme="minorBidi"/>
      <w:kern w:val="2"/>
      <w:sz w:val="21"/>
      <w:szCs w:val="21"/>
      <w:lang w:val="zh-CN" w:eastAsia="zh-CN" w:bidi="ar-SA"/>
    </w:rPr>
  </w:style>
  <w:style w:type="character" w:customStyle="1" w:styleId="40">
    <w:name w:val="表格备注 字符"/>
    <w:basedOn w:val="23"/>
    <w:link w:val="39"/>
    <w:qFormat/>
    <w:uiPriority w:val="0"/>
    <w:rPr>
      <w:rFonts w:ascii="楷体" w:hAnsi="楷体" w:eastAsia="楷体"/>
      <w:szCs w:val="21"/>
      <w:lang w:val="zh-CN"/>
    </w:rPr>
  </w:style>
  <w:style w:type="character" w:customStyle="1" w:styleId="41">
    <w:name w:val="标题 2 字符"/>
    <w:basedOn w:val="23"/>
    <w:link w:val="3"/>
    <w:semiHidden/>
    <w:qFormat/>
    <w:uiPriority w:val="9"/>
    <w:rPr>
      <w:rFonts w:asciiTheme="majorHAnsi" w:hAnsiTheme="majorHAnsi" w:eastAsiaTheme="majorEastAsia" w:cstheme="majorBidi"/>
      <w:b/>
      <w:bCs/>
      <w:sz w:val="32"/>
      <w:szCs w:val="32"/>
    </w:rPr>
  </w:style>
  <w:style w:type="paragraph" w:customStyle="1" w:styleId="42">
    <w:name w:val="图片"/>
    <w:basedOn w:val="1"/>
    <w:link w:val="43"/>
    <w:qFormat/>
    <w:uiPriority w:val="0"/>
    <w:pPr>
      <w:ind w:firstLine="0" w:firstLineChars="0"/>
      <w:jc w:val="center"/>
    </w:pPr>
  </w:style>
  <w:style w:type="character" w:customStyle="1" w:styleId="43">
    <w:name w:val="图片 字符"/>
    <w:basedOn w:val="23"/>
    <w:link w:val="42"/>
    <w:qFormat/>
    <w:uiPriority w:val="0"/>
    <w:rPr>
      <w:rFonts w:eastAsia="仿宋_GB2312"/>
      <w:sz w:val="30"/>
    </w:rPr>
  </w:style>
  <w:style w:type="paragraph" w:customStyle="1" w:styleId="44">
    <w:name w:val="表名"/>
    <w:basedOn w:val="16"/>
    <w:link w:val="45"/>
    <w:qFormat/>
    <w:uiPriority w:val="0"/>
    <w:pPr>
      <w:widowControl/>
      <w:numPr>
        <w:ilvl w:val="0"/>
        <w:numId w:val="2"/>
      </w:numPr>
      <w:suppressLineNumbers/>
      <w:suppressAutoHyphens/>
      <w:spacing w:before="166" w:beforeLines="50"/>
      <w:ind w:left="0" w:leftChars="0" w:firstLine="0" w:firstLineChars="0"/>
      <w:jc w:val="center"/>
    </w:pPr>
    <w:rPr>
      <w:rFonts w:ascii="华文细黑" w:hAnsi="华文细黑" w:eastAsia="黑体" w:cs="华文细黑"/>
      <w:color w:val="0D0D0D" w:themeColor="text1" w:themeTint="F2"/>
      <w:kern w:val="0"/>
      <w:sz w:val="21"/>
      <w:szCs w:val="20"/>
      <w14:textFill>
        <w14:solidFill>
          <w14:schemeClr w14:val="tx1">
            <w14:lumMod w14:val="95000"/>
            <w14:lumOff w14:val="5000"/>
          </w14:schemeClr>
        </w14:solidFill>
      </w14:textFill>
    </w:rPr>
  </w:style>
  <w:style w:type="character" w:customStyle="1" w:styleId="45">
    <w:name w:val="表名 字符"/>
    <w:link w:val="44"/>
    <w:qFormat/>
    <w:uiPriority w:val="0"/>
    <w:rPr>
      <w:rFonts w:ascii="华文细黑" w:hAnsi="华文细黑" w:eastAsia="黑体" w:cs="华文细黑"/>
      <w:color w:val="0D0D0D" w:themeColor="text1" w:themeTint="F2"/>
      <w:kern w:val="0"/>
      <w:szCs w:val="20"/>
      <w14:textFill>
        <w14:solidFill>
          <w14:schemeClr w14:val="tx1">
            <w14:lumMod w14:val="95000"/>
            <w14:lumOff w14:val="5000"/>
          </w14:schemeClr>
        </w14:solidFill>
      </w14:textFill>
    </w:rPr>
  </w:style>
  <w:style w:type="character" w:customStyle="1" w:styleId="46">
    <w:name w:val="表格内部文字 Char"/>
    <w:link w:val="47"/>
    <w:qFormat/>
    <w:uiPriority w:val="0"/>
    <w:rPr>
      <w:rFonts w:eastAsia="黑体"/>
      <w:color w:val="3B3838" w:themeColor="background2" w:themeShade="40"/>
      <w:sz w:val="24"/>
      <w:szCs w:val="21"/>
    </w:rPr>
  </w:style>
  <w:style w:type="paragraph" w:customStyle="1" w:styleId="47">
    <w:name w:val="表格内部文字"/>
    <w:link w:val="46"/>
    <w:qFormat/>
    <w:uiPriority w:val="0"/>
    <w:pPr>
      <w:jc w:val="center"/>
      <w:textAlignment w:val="center"/>
    </w:pPr>
    <w:rPr>
      <w:rFonts w:eastAsia="黑体" w:asciiTheme="minorHAnsi" w:hAnsiTheme="minorHAnsi" w:cstheme="minorBidi"/>
      <w:color w:val="3B3838" w:themeColor="background2" w:themeShade="40"/>
      <w:kern w:val="2"/>
      <w:sz w:val="24"/>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numbering" Target="numbering.xml"/><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FE0C6EBB-6ED4-4FCF-9094-F9ECA7AE3139}">
  <ds:schemaRefs/>
</ds:datastoreItem>
</file>

<file path=docProps/app.xml><?xml version="1.0" encoding="utf-8"?>
<Properties xmlns="http://schemas.openxmlformats.org/officeDocument/2006/extended-properties" xmlns:vt="http://schemas.openxmlformats.org/officeDocument/2006/docPropsVTypes">
  <Template>Normal.dotm</Template>
  <Pages>17</Pages>
  <Words>749</Words>
  <Characters>4273</Characters>
  <Lines>35</Lines>
  <Paragraphs>10</Paragraphs>
  <TotalTime>36</TotalTime>
  <ScaleCrop>false</ScaleCrop>
  <LinksUpToDate>false</LinksUpToDate>
  <CharactersWithSpaces>5012</CharactersWithSpaces>
  <Application>WPS Office_12.8.2.1112_F1E327BC-269C-435d-A152-05C5408002CA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2024-04-26T14:37:00Z</dcterms:created>
  <dc:creator>佟鹏</dc:creator>
  <cp:lastModifiedBy>sugon</cp:lastModifiedBy>
  <dcterms:modified xsi:type="dcterms:W3CDTF">2024-07-25T15:39:39Z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2052-12.8.2.1112</vt:lpwstr>
  </property>
  <property fmtid="{D5CDD505-2E9C-101B-9397-08002B2CF9AE}" pid="3" name="ICV">
    <vt:lpwstr>A0693E0D6B30C6F5BBA9A166085D0D43_43</vt:lpwstr>
  </property>
</Properties>
</file>