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788017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长治市上党区住房和城乡建设局</w:t>
      </w:r>
    </w:p>
    <w:p w14:paraId="139963D3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住建领域涉企行政检查差异性监管制度</w:t>
      </w:r>
    </w:p>
    <w:p w14:paraId="1C5510C2">
      <w:pPr>
        <w:spacing w:before="156" w:beforeLines="50" w:after="156" w:afterLines="50" w:line="5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第一章 总则</w:t>
      </w:r>
    </w:p>
    <w:p w14:paraId="2ACA62D4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第一条【制定目的】 为深入贯彻习近平法治思想，全面落实优化营商环境决策部署，规范住建领域涉企行政检查行为，构建精准化、差异化、高效化监管体系，杜绝多头检查、重复检查、过度检查，切实减轻企业合规负担，激发市场主体活力，依据《中华人民共和国行政处罚法》《优化营商环境条例》《住房和城乡建设行政处罚程序规定》《山西省严格规范涉企行政检查的若干举措》等法律规定及文件要求，结合我区住建行业实际，制定本制度。</w:t>
      </w:r>
    </w:p>
    <w:p w14:paraId="383197AD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第二条【适用范围】 本制度适用于长治市上党区住房和城乡建设局（以下简称“区住建局”）对本行政区域内从事房地产开发经营、建筑施工、勘察设计、监理、造价、检测、招标代理、物业服务、装饰装修等住建领域企业、单位及相关从业人员实施的日常检查、专项检查、“双随机、一公开”检查、联合检查、投诉核查等各类行政检查活动。</w:t>
      </w:r>
    </w:p>
    <w:p w14:paraId="51235745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第三条【核心原则】 涉企行政检查差异性监管遵循职权法定、公平公正和</w:t>
      </w:r>
      <w:r>
        <w:rPr>
          <w:rFonts w:ascii="仿宋_GB2312" w:eastAsia="仿宋_GB2312"/>
          <w:sz w:val="32"/>
          <w:szCs w:val="32"/>
        </w:rPr>
        <w:t>风险导向的</w:t>
      </w:r>
      <w:r>
        <w:rPr>
          <w:rFonts w:hint="eastAsia" w:ascii="仿宋_GB2312" w:eastAsia="仿宋_GB2312"/>
          <w:sz w:val="32"/>
          <w:szCs w:val="32"/>
        </w:rPr>
        <w:t>基本原则，</w:t>
      </w:r>
      <w:r>
        <w:rPr>
          <w:rFonts w:ascii="仿宋_GB2312" w:eastAsia="仿宋_GB2312"/>
          <w:sz w:val="32"/>
          <w:szCs w:val="32"/>
        </w:rPr>
        <w:t>做到</w:t>
      </w:r>
      <w:r>
        <w:rPr>
          <w:rFonts w:hint="eastAsia" w:ascii="仿宋_GB2312" w:eastAsia="仿宋_GB2312"/>
          <w:sz w:val="32"/>
          <w:szCs w:val="32"/>
        </w:rPr>
        <w:t>科学分类和</w:t>
      </w:r>
      <w:r>
        <w:rPr>
          <w:rFonts w:ascii="仿宋_GB2312" w:eastAsia="仿宋_GB2312"/>
          <w:sz w:val="32"/>
          <w:szCs w:val="32"/>
        </w:rPr>
        <w:t>动态调整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使</w:t>
      </w:r>
      <w:r>
        <w:rPr>
          <w:rFonts w:hint="eastAsia" w:ascii="仿宋_GB2312" w:eastAsia="仿宋_GB2312"/>
          <w:sz w:val="32"/>
          <w:szCs w:val="32"/>
        </w:rPr>
        <w:t>企业对</w:t>
      </w:r>
      <w:r>
        <w:rPr>
          <w:rFonts w:ascii="仿宋_GB2312" w:eastAsia="仿宋_GB2312"/>
          <w:sz w:val="32"/>
          <w:szCs w:val="32"/>
        </w:rPr>
        <w:t>于行政检查有可预期性，</w:t>
      </w:r>
      <w:r>
        <w:rPr>
          <w:rFonts w:hint="eastAsia" w:ascii="仿宋_GB2312" w:eastAsia="仿宋_GB2312"/>
          <w:sz w:val="32"/>
          <w:szCs w:val="32"/>
        </w:rPr>
        <w:t>保障</w:t>
      </w:r>
      <w:r>
        <w:rPr>
          <w:rFonts w:ascii="仿宋_GB2312" w:eastAsia="仿宋_GB2312"/>
          <w:sz w:val="32"/>
          <w:szCs w:val="32"/>
        </w:rPr>
        <w:t>企业各项合法权益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78270FD3">
      <w:pPr>
        <w:spacing w:line="560" w:lineRule="exact"/>
        <w:ind w:firstLine="646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第四条</w:t>
      </w:r>
      <w:r>
        <w:rPr>
          <w:rFonts w:ascii="仿宋_GB2312" w:eastAsia="仿宋_GB2312"/>
          <w:sz w:val="32"/>
          <w:szCs w:val="32"/>
        </w:rPr>
        <w:t>【</w:t>
      </w:r>
      <w:r>
        <w:rPr>
          <w:rFonts w:hint="eastAsia" w:ascii="仿宋_GB2312" w:eastAsia="仿宋_GB2312"/>
          <w:sz w:val="32"/>
          <w:szCs w:val="32"/>
        </w:rPr>
        <w:t>职责</w:t>
      </w:r>
      <w:r>
        <w:rPr>
          <w:rFonts w:ascii="仿宋_GB2312" w:eastAsia="仿宋_GB2312"/>
          <w:sz w:val="32"/>
          <w:szCs w:val="32"/>
        </w:rPr>
        <w:t>分工】</w:t>
      </w:r>
      <w:r>
        <w:rPr>
          <w:rFonts w:hint="eastAsia" w:ascii="仿宋_GB2312" w:eastAsia="仿宋_GB2312"/>
          <w:sz w:val="32"/>
          <w:szCs w:val="32"/>
        </w:rPr>
        <w:t xml:space="preserve"> 局党组应当加强对本局开展差异性监管工作的组织领导和监督检查，研究解决差异性监管实施中的重大问题，协调各股室统筹实施差异性监管。</w:t>
      </w:r>
    </w:p>
    <w:p w14:paraId="16B4F683">
      <w:pPr>
        <w:spacing w:line="560" w:lineRule="exact"/>
        <w:ind w:firstLine="646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局优化营商环境办公室负责牵头组织差异性监管工作的统筹协调、督导推进；负责监管对象分类等级的动态管理及调整结果的公示；协调跨部门联合检查；组织落实对企业的差异化服务支持措施。</w:t>
      </w:r>
    </w:p>
    <w:p w14:paraId="333A1FC5">
      <w:pPr>
        <w:spacing w:line="560" w:lineRule="exact"/>
        <w:ind w:firstLine="646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局法制股负责监管等级划分、监管措施执行的合法性审核；对差异性监管制度的实施情况进行监督检查，纠正违规行为；负责本制度的解释工作。</w:t>
      </w:r>
    </w:p>
    <w:p w14:paraId="43D64386">
      <w:pPr>
        <w:spacing w:line="560" w:lineRule="exact"/>
        <w:ind w:firstLine="646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局有关业务股室按照职责分工，具体实施本领域涉企行政检查，依据监管等级落实差异化检查频次、检查方式和执法方式；建立并动态更新监管对象分类台账；负责检查结果反馈、整改跟踪以及信用信息归集。</w:t>
      </w:r>
    </w:p>
    <w:p w14:paraId="44385352">
      <w:pPr>
        <w:spacing w:before="156" w:beforeLines="50" w:after="156" w:afterLines="50" w:line="5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第二章 监管对象分类</w:t>
      </w:r>
    </w:p>
    <w:p w14:paraId="150ACA34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第五条【分类依据】 综合以下指标，将住建领域监管对象划分为“A类（低风险）、B类（一般风险）、C类（较高风险）、D类（高风险）”四个等级：</w:t>
      </w:r>
    </w:p>
    <w:p w14:paraId="31821B92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</w:t>
      </w:r>
      <w:r>
        <w:rPr>
          <w:rFonts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</w:rPr>
        <w:t>企业信用状况：信用中国、国家企业信用信息公示系统、住建行业信用考核评价</w:t>
      </w:r>
      <w:r>
        <w:rPr>
          <w:rFonts w:ascii="仿宋_GB2312" w:eastAsia="仿宋_GB2312"/>
          <w:sz w:val="32"/>
          <w:szCs w:val="32"/>
        </w:rPr>
        <w:t>等信息</w:t>
      </w:r>
      <w:r>
        <w:rPr>
          <w:rFonts w:hint="eastAsia" w:ascii="仿宋_GB2312" w:eastAsia="仿宋_GB2312"/>
          <w:sz w:val="32"/>
          <w:szCs w:val="32"/>
        </w:rPr>
        <w:t>；</w:t>
      </w:r>
    </w:p>
    <w:p w14:paraId="79A508E3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</w:t>
      </w:r>
      <w:r>
        <w:rPr>
          <w:rFonts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</w:rPr>
        <w:t>历史合规记录：近3年行政处罚、投诉举报、整改落实情况；</w:t>
      </w:r>
    </w:p>
    <w:p w14:paraId="3C3ADC75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</w:t>
      </w:r>
      <w:r>
        <w:rPr>
          <w:rFonts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</w:rPr>
        <w:t>行业风险属性：建筑施工、燃气经营等为高危行业，物业服务、经纪估价等为一般行业。根据</w:t>
      </w:r>
      <w:r>
        <w:rPr>
          <w:rFonts w:ascii="仿宋_GB2312" w:eastAsia="仿宋_GB2312"/>
          <w:sz w:val="32"/>
          <w:szCs w:val="32"/>
        </w:rPr>
        <w:t>国民经济发展水平和地域</w:t>
      </w:r>
      <w:r>
        <w:rPr>
          <w:rFonts w:hint="eastAsia" w:ascii="仿宋_GB2312" w:eastAsia="仿宋_GB2312"/>
          <w:sz w:val="32"/>
          <w:szCs w:val="32"/>
        </w:rPr>
        <w:t>特点</w:t>
      </w:r>
      <w:r>
        <w:rPr>
          <w:rFonts w:ascii="仿宋_GB2312" w:eastAsia="仿宋_GB2312"/>
          <w:sz w:val="32"/>
          <w:szCs w:val="32"/>
        </w:rPr>
        <w:t>，行业风险属性应当</w:t>
      </w:r>
      <w:r>
        <w:rPr>
          <w:rFonts w:hint="eastAsia" w:ascii="仿宋_GB2312" w:eastAsia="仿宋_GB2312"/>
          <w:sz w:val="32"/>
          <w:szCs w:val="32"/>
        </w:rPr>
        <w:t>结合</w:t>
      </w:r>
      <w:r>
        <w:rPr>
          <w:rFonts w:ascii="仿宋_GB2312" w:eastAsia="仿宋_GB2312"/>
          <w:sz w:val="32"/>
          <w:szCs w:val="32"/>
        </w:rPr>
        <w:t>实际进行动态调整。</w:t>
      </w:r>
    </w:p>
    <w:p w14:paraId="39E040CD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</w:t>
      </w:r>
      <w:r>
        <w:rPr>
          <w:rFonts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</w:rPr>
        <w:t>安全生产与工程质量情况：安全事故、质量问题、扬尘治理等情况；</w:t>
      </w:r>
    </w:p>
    <w:p w14:paraId="4E3AD7B8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（五）企业</w:t>
      </w:r>
      <w:r>
        <w:rPr>
          <w:rFonts w:ascii="仿宋_GB2312" w:eastAsia="仿宋_GB2312"/>
          <w:sz w:val="32"/>
          <w:szCs w:val="32"/>
        </w:rPr>
        <w:t>主动作为情况：</w:t>
      </w:r>
      <w:r>
        <w:rPr>
          <w:rFonts w:hint="eastAsia" w:ascii="仿宋_GB2312" w:eastAsia="仿宋_GB2312"/>
          <w:sz w:val="32"/>
          <w:szCs w:val="32"/>
        </w:rPr>
        <w:t>在配合监管、整改落实、信用承诺履行等情况。</w:t>
      </w:r>
    </w:p>
    <w:p w14:paraId="000C58EB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第六条【分类标准】 本制度</w:t>
      </w:r>
      <w:r>
        <w:rPr>
          <w:rFonts w:ascii="仿宋_GB2312" w:eastAsia="仿宋_GB2312"/>
          <w:sz w:val="32"/>
          <w:szCs w:val="32"/>
        </w:rPr>
        <w:t>所称的</w:t>
      </w:r>
      <w:r>
        <w:rPr>
          <w:rFonts w:hint="eastAsia" w:ascii="仿宋_GB2312" w:eastAsia="仿宋_GB2312"/>
          <w:sz w:val="32"/>
          <w:szCs w:val="32"/>
        </w:rPr>
        <w:t>监管</w:t>
      </w:r>
      <w:r>
        <w:rPr>
          <w:rFonts w:ascii="仿宋_GB2312" w:eastAsia="仿宋_GB2312"/>
          <w:sz w:val="32"/>
          <w:szCs w:val="32"/>
        </w:rPr>
        <w:t>对象均为企业及从业人员，</w:t>
      </w:r>
      <w:r>
        <w:rPr>
          <w:rFonts w:hint="eastAsia" w:ascii="仿宋_GB2312" w:eastAsia="仿宋_GB2312"/>
          <w:sz w:val="32"/>
          <w:szCs w:val="32"/>
        </w:rPr>
        <w:t>不按照</w:t>
      </w:r>
      <w:r>
        <w:rPr>
          <w:rFonts w:ascii="仿宋_GB2312" w:eastAsia="仿宋_GB2312"/>
          <w:sz w:val="32"/>
          <w:szCs w:val="32"/>
        </w:rPr>
        <w:t>项目进行分类，具体分类标准如下：</w:t>
      </w:r>
    </w:p>
    <w:p w14:paraId="477398C3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（一）能够</w:t>
      </w:r>
      <w:r>
        <w:rPr>
          <w:rFonts w:ascii="仿宋_GB2312" w:eastAsia="仿宋_GB2312"/>
          <w:sz w:val="32"/>
          <w:szCs w:val="32"/>
        </w:rPr>
        <w:t>满足以下所有情形的，为</w:t>
      </w:r>
      <w:r>
        <w:rPr>
          <w:rFonts w:hint="eastAsia" w:ascii="仿宋_GB2312" w:eastAsia="仿宋_GB2312"/>
          <w:sz w:val="32"/>
          <w:szCs w:val="32"/>
        </w:rPr>
        <w:t>A类（低风险）：</w:t>
      </w:r>
    </w:p>
    <w:p w14:paraId="26FD99F0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近3年未</w:t>
      </w:r>
      <w:r>
        <w:rPr>
          <w:rFonts w:ascii="仿宋_GB2312" w:eastAsia="仿宋_GB2312"/>
          <w:sz w:val="32"/>
          <w:szCs w:val="32"/>
        </w:rPr>
        <w:t>收到住房</w:t>
      </w:r>
      <w:r>
        <w:rPr>
          <w:rFonts w:hint="eastAsia" w:ascii="仿宋_GB2312" w:eastAsia="仿宋_GB2312"/>
          <w:sz w:val="32"/>
          <w:szCs w:val="32"/>
        </w:rPr>
        <w:t>城乡建设领域行政处罚、无重大投诉举报、无安全质量事故；</w:t>
      </w:r>
    </w:p>
    <w:p w14:paraId="3EAF642D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信用评价为优秀，严格履行信用承诺，各项监管检查均合格；</w:t>
      </w:r>
    </w:p>
    <w:p w14:paraId="077F1D5A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工程质量、安全生产、环保措施落实到位，行业示范引领作用明显；</w:t>
      </w:r>
    </w:p>
    <w:p w14:paraId="2749E9A3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主动配合监管，整改事项100%按期完成。</w:t>
      </w:r>
    </w:p>
    <w:p w14:paraId="33E7B65F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（二）能够</w:t>
      </w:r>
      <w:r>
        <w:rPr>
          <w:rFonts w:ascii="仿宋_GB2312" w:eastAsia="仿宋_GB2312"/>
          <w:sz w:val="32"/>
          <w:szCs w:val="32"/>
        </w:rPr>
        <w:t>满足以下所有情形的，为</w:t>
      </w:r>
      <w:r>
        <w:rPr>
          <w:rFonts w:hint="eastAsia" w:ascii="仿宋_GB2312" w:eastAsia="仿宋_GB2312"/>
          <w:sz w:val="32"/>
          <w:szCs w:val="32"/>
        </w:rPr>
        <w:t>B类（一般风险）：</w:t>
      </w:r>
    </w:p>
    <w:p w14:paraId="189F1600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近2年无重大行政处罚且无重大安全质量事故；</w:t>
      </w:r>
    </w:p>
    <w:p w14:paraId="6C01A384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偶有轻微违规，但已及时整改到位且无不良信用记录；</w:t>
      </w:r>
    </w:p>
    <w:p w14:paraId="5A565641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工程质量、安全生产、环保措施基本达标；</w:t>
      </w:r>
    </w:p>
    <w:p w14:paraId="10486237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配合监管情况良好，整改落实及时。</w:t>
      </w:r>
    </w:p>
    <w:p w14:paraId="3F7FC258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（三）满足</w:t>
      </w:r>
      <w:r>
        <w:rPr>
          <w:rFonts w:ascii="仿宋_GB2312" w:eastAsia="仿宋_GB2312"/>
          <w:sz w:val="32"/>
          <w:szCs w:val="32"/>
        </w:rPr>
        <w:t>以下情形任意一条的，为</w:t>
      </w:r>
      <w:r>
        <w:rPr>
          <w:rFonts w:hint="eastAsia" w:ascii="仿宋_GB2312" w:eastAsia="仿宋_GB2312"/>
          <w:sz w:val="32"/>
          <w:szCs w:val="32"/>
        </w:rPr>
        <w:t>C类（较高风险）：</w:t>
      </w:r>
    </w:p>
    <w:p w14:paraId="17BAFE4A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近2年存在一般行政处罚，或多次一般投诉举报；</w:t>
      </w:r>
    </w:p>
    <w:p w14:paraId="334CEB53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工程质量、安全生产、环保措施存在瑕疵或未按期完成整改；</w:t>
      </w:r>
    </w:p>
    <w:p w14:paraId="46AE995A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信用评价一般或存在轻微失信行为；</w:t>
      </w:r>
    </w:p>
    <w:p w14:paraId="400BB42C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配合监管主动性不足，需多次督促整改。</w:t>
      </w:r>
    </w:p>
    <w:p w14:paraId="0810BFD2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（四）满足</w:t>
      </w:r>
      <w:r>
        <w:rPr>
          <w:rFonts w:ascii="仿宋_GB2312" w:eastAsia="仿宋_GB2312"/>
          <w:sz w:val="32"/>
          <w:szCs w:val="32"/>
        </w:rPr>
        <w:t>以下情形任意一条的，</w:t>
      </w:r>
      <w:r>
        <w:rPr>
          <w:rFonts w:hint="eastAsia" w:ascii="仿宋_GB2312" w:eastAsia="仿宋_GB2312"/>
          <w:sz w:val="32"/>
          <w:szCs w:val="32"/>
        </w:rPr>
        <w:t>为D类（高风险）：</w:t>
      </w:r>
    </w:p>
    <w:p w14:paraId="7474E29E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近1年存在重大行政处罚、重大安全质量事故、严重环境污染问题；</w:t>
      </w:r>
    </w:p>
    <w:p w14:paraId="34F218BC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被列入经营异常名录、严重失信主体名单，或拒不整改、虚假整改；</w:t>
      </w:r>
    </w:p>
    <w:p w14:paraId="75697E42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3.</w:t>
      </w:r>
      <w:r>
        <w:rPr>
          <w:rFonts w:hint="eastAsia" w:ascii="仿宋_GB2312" w:eastAsia="仿宋_GB2312"/>
          <w:sz w:val="32"/>
          <w:szCs w:val="32"/>
        </w:rPr>
        <w:t>多次引发群体性投诉举报，社会影响恶劣；</w:t>
      </w:r>
    </w:p>
    <w:p w14:paraId="4A6521CC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</w:t>
      </w:r>
      <w:r>
        <w:rPr>
          <w:rFonts w:ascii="仿宋_GB2312" w:eastAsia="仿宋_GB2312"/>
          <w:sz w:val="32"/>
          <w:szCs w:val="32"/>
        </w:rPr>
        <w:t>.存在</w:t>
      </w:r>
      <w:r>
        <w:rPr>
          <w:rFonts w:hint="eastAsia" w:ascii="仿宋_GB2312" w:eastAsia="仿宋_GB2312"/>
          <w:sz w:val="32"/>
          <w:szCs w:val="32"/>
        </w:rPr>
        <w:t>无证经营、转包挂靠、违法分包等严重违法违规行为。</w:t>
      </w:r>
    </w:p>
    <w:p w14:paraId="77FF1593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依据《中华人民</w:t>
      </w:r>
      <w:r>
        <w:rPr>
          <w:rFonts w:ascii="仿宋_GB2312" w:eastAsia="仿宋_GB2312"/>
          <w:sz w:val="32"/>
          <w:szCs w:val="32"/>
        </w:rPr>
        <w:t>共和国安全生产法》</w:t>
      </w:r>
      <w:r>
        <w:rPr>
          <w:rFonts w:hint="eastAsia" w:ascii="仿宋_GB2312" w:eastAsia="仿宋_GB2312"/>
          <w:sz w:val="32"/>
          <w:szCs w:val="32"/>
        </w:rPr>
        <w:t>相关</w:t>
      </w:r>
      <w:r>
        <w:rPr>
          <w:rFonts w:ascii="仿宋_GB2312" w:eastAsia="仿宋_GB2312"/>
          <w:sz w:val="32"/>
          <w:szCs w:val="32"/>
        </w:rPr>
        <w:t>规定，</w:t>
      </w:r>
      <w:r>
        <w:rPr>
          <w:rFonts w:hint="eastAsia" w:ascii="仿宋_GB2312" w:eastAsia="仿宋_GB2312"/>
          <w:sz w:val="32"/>
          <w:szCs w:val="32"/>
        </w:rPr>
        <w:t>在开展</w:t>
      </w:r>
      <w:r>
        <w:rPr>
          <w:rFonts w:ascii="仿宋_GB2312" w:eastAsia="仿宋_GB2312"/>
          <w:sz w:val="32"/>
          <w:szCs w:val="32"/>
        </w:rPr>
        <w:t>安全生产行政检查时，依法将建筑施工</w:t>
      </w:r>
      <w:r>
        <w:rPr>
          <w:rFonts w:hint="eastAsia" w:ascii="仿宋_GB2312" w:eastAsia="仿宋_GB2312"/>
          <w:sz w:val="32"/>
          <w:szCs w:val="32"/>
        </w:rPr>
        <w:t>、燃气</w:t>
      </w:r>
      <w:r>
        <w:rPr>
          <w:rFonts w:ascii="仿宋_GB2312" w:eastAsia="仿宋_GB2312"/>
          <w:sz w:val="32"/>
          <w:szCs w:val="32"/>
        </w:rPr>
        <w:t>经营列为</w:t>
      </w:r>
      <w:r>
        <w:rPr>
          <w:rFonts w:hint="eastAsia" w:ascii="仿宋_GB2312" w:eastAsia="仿宋_GB2312"/>
          <w:sz w:val="32"/>
          <w:szCs w:val="32"/>
        </w:rPr>
        <w:t>高危行业，</w:t>
      </w:r>
      <w:r>
        <w:rPr>
          <w:rFonts w:ascii="仿宋_GB2312" w:eastAsia="仿宋_GB2312"/>
          <w:sz w:val="32"/>
          <w:szCs w:val="32"/>
        </w:rPr>
        <w:t>实施</w:t>
      </w:r>
      <w:r>
        <w:rPr>
          <w:rFonts w:hint="eastAsia" w:ascii="仿宋_GB2312" w:eastAsia="仿宋_GB2312"/>
          <w:sz w:val="32"/>
          <w:szCs w:val="32"/>
        </w:rPr>
        <w:t>高风险</w:t>
      </w:r>
      <w:r>
        <w:rPr>
          <w:rFonts w:ascii="仿宋_GB2312" w:eastAsia="仿宋_GB2312"/>
          <w:sz w:val="32"/>
          <w:szCs w:val="32"/>
        </w:rPr>
        <w:t>监管。</w:t>
      </w:r>
    </w:p>
    <w:p w14:paraId="110DC421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第七条【动态调整机制】我局</w:t>
      </w:r>
      <w:r>
        <w:rPr>
          <w:rFonts w:ascii="仿宋_GB2312" w:eastAsia="仿宋_GB2312"/>
          <w:sz w:val="32"/>
          <w:szCs w:val="32"/>
        </w:rPr>
        <w:t>针对监管</w:t>
      </w:r>
      <w:r>
        <w:rPr>
          <w:rFonts w:hint="eastAsia" w:ascii="仿宋_GB2312" w:eastAsia="仿宋_GB2312"/>
          <w:sz w:val="32"/>
          <w:szCs w:val="32"/>
        </w:rPr>
        <w:t>对象</w:t>
      </w:r>
      <w:r>
        <w:rPr>
          <w:rFonts w:ascii="仿宋_GB2312" w:eastAsia="仿宋_GB2312"/>
          <w:sz w:val="32"/>
          <w:szCs w:val="32"/>
        </w:rPr>
        <w:t>的监管级别实施动态调整机制，</w:t>
      </w:r>
      <w:r>
        <w:rPr>
          <w:rFonts w:hint="eastAsia" w:ascii="仿宋_GB2312" w:eastAsia="仿宋_GB2312"/>
          <w:sz w:val="32"/>
          <w:szCs w:val="32"/>
        </w:rPr>
        <w:t>监管等级每年复核调整1次，结合企业信用、合规记录实时更新。企业如出现重大违法违规、安全事故、失信行为的，应当即时下调监管等级。B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ascii="仿宋_GB2312" w:eastAsia="仿宋_GB2312"/>
          <w:sz w:val="32"/>
          <w:szCs w:val="32"/>
        </w:rPr>
        <w:t>C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bookmarkStart w:id="0" w:name="_GoBack"/>
      <w:bookmarkEnd w:id="0"/>
      <w:r>
        <w:rPr>
          <w:rFonts w:ascii="仿宋_GB2312" w:eastAsia="仿宋_GB2312"/>
          <w:sz w:val="32"/>
          <w:szCs w:val="32"/>
        </w:rPr>
        <w:t>D</w:t>
      </w:r>
      <w:r>
        <w:rPr>
          <w:rFonts w:hint="eastAsia" w:ascii="仿宋_GB2312" w:eastAsia="仿宋_GB2312"/>
          <w:sz w:val="32"/>
          <w:szCs w:val="32"/>
        </w:rPr>
        <w:t>级监管对象持续合规满1年，可申请上调监管等级，经核查属实后予以调整；</w:t>
      </w:r>
    </w:p>
    <w:p w14:paraId="7182BC06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调整结果通过区政府门户网站、住建领域监管平台公示，接受社会监督。</w:t>
      </w:r>
    </w:p>
    <w:p w14:paraId="618C9CD2">
      <w:pPr>
        <w:spacing w:before="156" w:beforeLines="50" w:after="156" w:afterLines="50" w:line="5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第三章 差异化监管措施</w:t>
      </w:r>
    </w:p>
    <w:p w14:paraId="2B7E32F8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第八条【检查频次差异化】针对</w:t>
      </w:r>
      <w:r>
        <w:rPr>
          <w:rFonts w:ascii="仿宋_GB2312" w:eastAsia="仿宋_GB2312"/>
          <w:sz w:val="32"/>
          <w:szCs w:val="32"/>
        </w:rPr>
        <w:t>不同监管</w:t>
      </w:r>
      <w:r>
        <w:rPr>
          <w:rFonts w:hint="eastAsia" w:ascii="仿宋_GB2312" w:eastAsia="仿宋_GB2312"/>
          <w:sz w:val="32"/>
          <w:szCs w:val="32"/>
        </w:rPr>
        <w:t>等级</w:t>
      </w:r>
      <w:r>
        <w:rPr>
          <w:rFonts w:ascii="仿宋_GB2312" w:eastAsia="仿宋_GB2312"/>
          <w:sz w:val="32"/>
          <w:szCs w:val="32"/>
        </w:rPr>
        <w:t>的监管对象，我局实行差异化检查频次，具体实施内容</w:t>
      </w:r>
      <w:r>
        <w:rPr>
          <w:rFonts w:hint="eastAsia" w:ascii="仿宋_GB2312" w:eastAsia="仿宋_GB2312"/>
          <w:sz w:val="32"/>
          <w:szCs w:val="32"/>
        </w:rPr>
        <w:t>为</w:t>
      </w:r>
      <w:r>
        <w:rPr>
          <w:rFonts w:ascii="仿宋_GB2312" w:eastAsia="仿宋_GB2312"/>
          <w:sz w:val="32"/>
          <w:szCs w:val="32"/>
        </w:rPr>
        <w:t>:</w:t>
      </w:r>
    </w:p>
    <w:p w14:paraId="6B6FB967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A类。年度现场检查不超过1次，优先采用非现场检查（书面核查、网络监测、信息共享）；纳入“企业安静期”重点保障范围，除投诉举报、上级交办、紧急情形外，不主动开展现场检查；多个检查事项合并实施，最大限度减少检查次数。</w:t>
      </w:r>
    </w:p>
    <w:p w14:paraId="39E1BFBF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（二）B类。年度现场检查1-2次，结合“双随机、一公开”开展；非现场检查与现场检查相结合，合理安排检查时间；同类事项合并检查，不重复、不多头检查。</w:t>
      </w:r>
    </w:p>
    <w:p w14:paraId="6A61BB52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（三）C类。年度现场检查3-4次，增加专项检查、突击检查频次；重点核查整改落实情况，对高频违规事项加大检查力度；纳入重点监管名单，定期跟踪风险整改成效。</w:t>
      </w:r>
    </w:p>
    <w:p w14:paraId="2B175008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D类。实施全覆盖、高频次监管，每季度至少现场检查1次，可随时开展突击检查；联合城管、应急、市场监管等部门开展联合执法检查；对违法违规行为依法从严查处，限期整改不到位的，依法暂停相关业务。</w:t>
      </w:r>
    </w:p>
    <w:p w14:paraId="71EA800C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第九条【检查方式差异化】针对不同监管等级的监管对象，我局实行差异化检查方式，具体实施内容为</w:t>
      </w:r>
      <w:r>
        <w:rPr>
          <w:rFonts w:ascii="仿宋_GB2312" w:eastAsia="仿宋_GB2312"/>
          <w:sz w:val="32"/>
          <w:szCs w:val="32"/>
        </w:rPr>
        <w:t>:</w:t>
      </w:r>
    </w:p>
    <w:p w14:paraId="0334AF9D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（一）A类。以信用监管、自我承诺为主，推行“无事不扰”，企业提交自查报告即可替代部分现场检查。</w:t>
      </w:r>
    </w:p>
    <w:p w14:paraId="15C00C74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</w:t>
      </w:r>
      <w:r>
        <w:rPr>
          <w:rFonts w:ascii="仿宋_GB2312" w:eastAsia="仿宋_GB2312"/>
          <w:sz w:val="32"/>
          <w:szCs w:val="32"/>
        </w:rPr>
        <w:t>B类。</w:t>
      </w:r>
      <w:r>
        <w:rPr>
          <w:rFonts w:hint="eastAsia" w:ascii="仿宋_GB2312" w:eastAsia="仿宋_GB2312"/>
          <w:sz w:val="32"/>
          <w:szCs w:val="32"/>
        </w:rPr>
        <w:t>以“双随机、一公开”检查为主，规范程序、标准公开、结果公示。</w:t>
      </w:r>
    </w:p>
    <w:p w14:paraId="03161F67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</w:t>
      </w:r>
      <w:r>
        <w:rPr>
          <w:rFonts w:ascii="仿宋_GB2312" w:eastAsia="仿宋_GB2312"/>
          <w:sz w:val="32"/>
          <w:szCs w:val="32"/>
        </w:rPr>
        <w:t>C类。</w:t>
      </w:r>
      <w:r>
        <w:rPr>
          <w:rFonts w:hint="eastAsia" w:ascii="仿宋_GB2312" w:eastAsia="仿宋_GB2312"/>
          <w:sz w:val="32"/>
          <w:szCs w:val="32"/>
        </w:rPr>
        <w:t>增加现场核查、重点抽查，对问题隐患全程跟踪督办。</w:t>
      </w:r>
    </w:p>
    <w:p w14:paraId="3292B167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</w:t>
      </w:r>
      <w:r>
        <w:rPr>
          <w:rFonts w:ascii="仿宋_GB2312" w:eastAsia="仿宋_GB2312"/>
          <w:sz w:val="32"/>
          <w:szCs w:val="32"/>
        </w:rPr>
        <w:t>D类。</w:t>
      </w:r>
      <w:r>
        <w:rPr>
          <w:rFonts w:hint="eastAsia" w:ascii="仿宋_GB2312" w:eastAsia="仿宋_GB2312"/>
          <w:sz w:val="32"/>
          <w:szCs w:val="32"/>
        </w:rPr>
        <w:t>实行驻点监管、全程监督，必要时聘请第三方机构协助核查，确保风险清零。</w:t>
      </w:r>
    </w:p>
    <w:p w14:paraId="30B975F9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第十条【执法方式差异化】 针对不同监管等级的监管对象，我局实行差异化执法方式，具体实施内容为</w:t>
      </w:r>
      <w:r>
        <w:rPr>
          <w:rFonts w:ascii="仿宋_GB2312" w:eastAsia="仿宋_GB2312"/>
          <w:sz w:val="32"/>
          <w:szCs w:val="32"/>
        </w:rPr>
        <w:t>:</w:t>
      </w:r>
    </w:p>
    <w:p w14:paraId="298E2A6E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（一）A类。首次轻微违法、非主观故意、无危害后果且及时改正的，依法不予处罚，仅予以劝导、警示。</w:t>
      </w:r>
    </w:p>
    <w:p w14:paraId="34A4A17F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</w:t>
      </w:r>
      <w:r>
        <w:rPr>
          <w:rFonts w:ascii="仿宋_GB2312" w:eastAsia="仿宋_GB2312"/>
          <w:sz w:val="32"/>
          <w:szCs w:val="32"/>
        </w:rPr>
        <w:t>B类。</w:t>
      </w:r>
      <w:r>
        <w:rPr>
          <w:rFonts w:hint="eastAsia" w:ascii="仿宋_GB2312" w:eastAsia="仿宋_GB2312"/>
          <w:sz w:val="32"/>
          <w:szCs w:val="32"/>
        </w:rPr>
        <w:t>一般违法优先采用责令改正、行政约谈、行政指导等柔性执法，依法从轻、减轻处罚。</w:t>
      </w:r>
    </w:p>
    <w:p w14:paraId="0C783465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</w:t>
      </w:r>
      <w:r>
        <w:rPr>
          <w:rFonts w:ascii="仿宋_GB2312" w:eastAsia="仿宋_GB2312"/>
          <w:sz w:val="32"/>
          <w:szCs w:val="32"/>
        </w:rPr>
        <w:t>C类。</w:t>
      </w:r>
      <w:r>
        <w:rPr>
          <w:rFonts w:hint="eastAsia" w:ascii="仿宋_GB2312" w:eastAsia="仿宋_GB2312"/>
          <w:sz w:val="32"/>
          <w:szCs w:val="32"/>
        </w:rPr>
        <w:t>对违规行为依法查处，督促限期整改，整改不到位的依法加重处理。</w:t>
      </w:r>
    </w:p>
    <w:p w14:paraId="564FD61F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</w:t>
      </w:r>
      <w:r>
        <w:rPr>
          <w:rFonts w:ascii="仿宋_GB2312" w:eastAsia="仿宋_GB2312"/>
          <w:sz w:val="32"/>
          <w:szCs w:val="32"/>
        </w:rPr>
        <w:t>D类。</w:t>
      </w:r>
      <w:r>
        <w:rPr>
          <w:rFonts w:hint="eastAsia" w:ascii="仿宋_GB2312" w:eastAsia="仿宋_GB2312"/>
          <w:sz w:val="32"/>
          <w:szCs w:val="32"/>
        </w:rPr>
        <w:t>严格依法处罚，公开违法信息，联合惩戒，涉嫌犯罪的移送司法机关。</w:t>
      </w:r>
    </w:p>
    <w:p w14:paraId="18A596EE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第十一条【服务支持差异化】 针对不同监管等级的监管对象，我局实行差异化服务支持，具体实施内容为</w:t>
      </w:r>
      <w:r>
        <w:rPr>
          <w:rFonts w:ascii="仿宋_GB2312" w:eastAsia="仿宋_GB2312"/>
          <w:sz w:val="32"/>
          <w:szCs w:val="32"/>
        </w:rPr>
        <w:t>:</w:t>
      </w:r>
    </w:p>
    <w:p w14:paraId="6AEDDDC0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（一）A类。优先享受政策扶持、评优评先、项目申报、资金支持等激励措施；提供“一对一”精准服务，上门解读政策、协助解决难题。</w:t>
      </w:r>
    </w:p>
    <w:p w14:paraId="589351B4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</w:t>
      </w:r>
      <w:r>
        <w:rPr>
          <w:rFonts w:ascii="仿宋_GB2312" w:eastAsia="仿宋_GB2312"/>
          <w:sz w:val="32"/>
          <w:szCs w:val="32"/>
        </w:rPr>
        <w:t>B类。</w:t>
      </w:r>
      <w:r>
        <w:rPr>
          <w:rFonts w:hint="eastAsia" w:ascii="仿宋_GB2312" w:eastAsia="仿宋_GB2312"/>
          <w:sz w:val="32"/>
          <w:szCs w:val="32"/>
        </w:rPr>
        <w:t>常态化提供政策咨询、业务指导，引导规范经营。</w:t>
      </w:r>
    </w:p>
    <w:p w14:paraId="0A426AE1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</w:t>
      </w:r>
      <w:r>
        <w:rPr>
          <w:rFonts w:ascii="仿宋_GB2312" w:eastAsia="仿宋_GB2312"/>
          <w:sz w:val="32"/>
          <w:szCs w:val="32"/>
        </w:rPr>
        <w:t>C类。</w:t>
      </w:r>
      <w:r>
        <w:rPr>
          <w:rFonts w:hint="eastAsia" w:ascii="仿宋_GB2312" w:eastAsia="仿宋_GB2312"/>
          <w:sz w:val="32"/>
          <w:szCs w:val="32"/>
        </w:rPr>
        <w:t>针对性开展合规培训、风险提示，帮助整改提升。</w:t>
      </w:r>
    </w:p>
    <w:p w14:paraId="1D851F30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</w:t>
      </w:r>
      <w:r>
        <w:rPr>
          <w:rFonts w:ascii="仿宋_GB2312" w:eastAsia="仿宋_GB2312"/>
          <w:sz w:val="32"/>
          <w:szCs w:val="32"/>
        </w:rPr>
        <w:t>D类。</w:t>
      </w:r>
      <w:r>
        <w:rPr>
          <w:rFonts w:hint="eastAsia" w:ascii="仿宋_GB2312" w:eastAsia="仿宋_GB2312"/>
          <w:sz w:val="32"/>
          <w:szCs w:val="32"/>
        </w:rPr>
        <w:t>责令限期整改，提供合规指导，督促消除风险隐患。</w:t>
      </w:r>
    </w:p>
    <w:p w14:paraId="37D18529">
      <w:pPr>
        <w:spacing w:before="156" w:beforeLines="50" w:after="156" w:afterLines="50" w:line="5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第四章 特殊监管机制</w:t>
      </w:r>
    </w:p>
    <w:p w14:paraId="67FEB103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第十二条【企业安静期制度】 除涉及安全生产、生态环保、投诉举报、上级交办等紧急特殊情形外，对A、B类企业设定每月不少于</w:t>
      </w:r>
      <w:r>
        <w:rPr>
          <w:rFonts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</w:rPr>
        <w:t>日的“企业安静期”，安静期内不开展常规现场检查。</w:t>
      </w:r>
    </w:p>
    <w:p w14:paraId="307778FF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安静期时间、范围、禁止检查事项应当通过政府网站公示，接受群众监督。</w:t>
      </w:r>
    </w:p>
    <w:p w14:paraId="245167DE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第十三条【非现场监管优先制度】 能够通过书面核查、数据共享、远程视频、在线报送等非现场方式可完成监管的，一律不开展现场检查；确需现场核查的，须经内部审批同意。</w:t>
      </w:r>
    </w:p>
    <w:p w14:paraId="241FAE38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第十四条【联合检查制度】 对同一企业涉及多股室检查事项的，由</w:t>
      </w:r>
      <w:r>
        <w:rPr>
          <w:rFonts w:ascii="仿宋_GB2312" w:eastAsia="仿宋_GB2312"/>
          <w:sz w:val="32"/>
          <w:szCs w:val="32"/>
        </w:rPr>
        <w:t>局党组</w:t>
      </w:r>
      <w:r>
        <w:rPr>
          <w:rFonts w:hint="eastAsia" w:ascii="仿宋_GB2312" w:eastAsia="仿宋_GB2312"/>
          <w:sz w:val="32"/>
          <w:szCs w:val="32"/>
        </w:rPr>
        <w:t>统筹</w:t>
      </w:r>
      <w:r>
        <w:rPr>
          <w:rFonts w:ascii="仿宋_GB2312" w:eastAsia="仿宋_GB2312"/>
          <w:sz w:val="32"/>
          <w:szCs w:val="32"/>
        </w:rPr>
        <w:t>确定牵头股室，</w:t>
      </w:r>
      <w:r>
        <w:rPr>
          <w:rFonts w:hint="eastAsia" w:ascii="仿宋_GB2312" w:eastAsia="仿宋_GB2312"/>
          <w:sz w:val="32"/>
          <w:szCs w:val="32"/>
        </w:rPr>
        <w:t>整合开展联合检查，一次性完成所有检查内容，杜绝重复进场、多头检查。</w:t>
      </w:r>
    </w:p>
    <w:p w14:paraId="74B4C0E1">
      <w:pPr>
        <w:spacing w:before="156" w:beforeLines="50" w:after="156" w:afterLines="50" w:line="5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第五章 管理与监督</w:t>
      </w:r>
    </w:p>
    <w:p w14:paraId="291DFDD6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第十五条【内部管理】各业务股室应当严格按照本制度实施差异化监管，将监管等级、检查频次、检查方式纳入行政检查内部审批内容，未经审批不得擅自调整。</w:t>
      </w:r>
    </w:p>
    <w:p w14:paraId="7C7FBDD7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法制股负责监管等级划分、监管措施执行的合法性审核，定期开展监督检查。建立差异化监管台账，全程记录监管对象分类、检查实施、整改落实、结果公开等情况，全程留痕、可追溯。</w:t>
      </w:r>
    </w:p>
    <w:p w14:paraId="7156C830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第十六条【公开公示】监管分类标准、等级划分结果、检查频次、监管措施通过区政府门户网站主动公开。</w:t>
      </w:r>
    </w:p>
    <w:p w14:paraId="17C4D795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检查结果、整改情况、奖惩信息依法公示，涉及商业秘密、个人隐私的依法脱敏处理。</w:t>
      </w:r>
    </w:p>
    <w:p w14:paraId="5E9DCCD2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第十七条【责任追究】违反本制度，擅自提高检查频次、扩大检查范围、实施歧视性监管、干扰企业正常经营的，责令改正；情节严重的，依法依规追究相关人员责任。</w:t>
      </w:r>
    </w:p>
    <w:p w14:paraId="62B6C5ED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对A类企业违规实施检查、过度执法，造成不良影响的，从严处理。</w:t>
      </w:r>
    </w:p>
    <w:p w14:paraId="6E0C3558">
      <w:pPr>
        <w:spacing w:before="156" w:beforeLines="50" w:after="156" w:afterLines="50" w:line="5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第六章 附则</w:t>
      </w:r>
    </w:p>
    <w:p w14:paraId="1088D525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第十八条【解释权】 本制度由长治市上党区住房和城乡建设局法制股负责解释。</w:t>
      </w:r>
    </w:p>
    <w:p w14:paraId="03CBF5DF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第十九条【施行日期】本制度自印发之日起施行。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EU-B1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EU-B1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AF1"/>
    <w:rsid w:val="001D46CD"/>
    <w:rsid w:val="002337B3"/>
    <w:rsid w:val="00255777"/>
    <w:rsid w:val="002C7C38"/>
    <w:rsid w:val="00357447"/>
    <w:rsid w:val="006E45FF"/>
    <w:rsid w:val="00784CB5"/>
    <w:rsid w:val="008E209F"/>
    <w:rsid w:val="0090238A"/>
    <w:rsid w:val="00923735"/>
    <w:rsid w:val="009F58AA"/>
    <w:rsid w:val="00A8481F"/>
    <w:rsid w:val="00B6646A"/>
    <w:rsid w:val="00C8403F"/>
    <w:rsid w:val="00C90AF1"/>
    <w:rsid w:val="00CC12F0"/>
    <w:rsid w:val="00D12380"/>
    <w:rsid w:val="00DB464D"/>
    <w:rsid w:val="00DC6C45"/>
    <w:rsid w:val="00FB7454"/>
    <w:rsid w:val="00FC2C1B"/>
    <w:rsid w:val="7FE2B3FF"/>
    <w:rsid w:val="D9D377ED"/>
    <w:rsid w:val="F583ECA1"/>
    <w:rsid w:val="FE95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字符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545</Words>
  <Characters>3110</Characters>
  <Lines>25</Lines>
  <Paragraphs>7</Paragraphs>
  <TotalTime>24</TotalTime>
  <ScaleCrop>false</ScaleCrop>
  <LinksUpToDate>false</LinksUpToDate>
  <CharactersWithSpaces>3648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2026-05-07T17:40:00Z</dcterms:created>
  <dc:creator>Administrator</dc:creator>
  <cp:lastModifiedBy>sugon</cp:lastModifiedBy>
  <cp:lastPrinted>2026-05-20T00:55:00Z</cp:lastPrinted>
  <dcterms:modified xsi:type="dcterms:W3CDTF">2026-07-28T17:45:29Z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0F0DE0BF7A4E7311F976686AED0C0029_43</vt:lpwstr>
  </property>
</Properties>
</file>