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C6B49">
      <w:pPr>
        <w:autoSpaceDN w:val="0"/>
        <w:spacing w:line="600" w:lineRule="exact"/>
        <w:jc w:val="center"/>
        <w:rPr>
          <w:rFonts w:ascii="方正小标宋简体" w:hAnsi="方正小标宋简体" w:eastAsia="方正小标宋简体" w:cs="Times New Roman"/>
          <w:sz w:val="44"/>
          <w:szCs w:val="44"/>
        </w:rPr>
      </w:pPr>
      <w:bookmarkStart w:id="0" w:name="_GoBack"/>
      <w:r>
        <w:rPr>
          <w:rFonts w:ascii="仿宋_GB2312" w:hAnsi="仿宋_GB2312" w:eastAsia="仿宋_GB2312" w:cs="仿宋_GB2312"/>
          <w:sz w:val="32"/>
          <w:szCs w:val="32"/>
        </w:rPr>
        <w:t xml:space="preserve"> </w:t>
      </w: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26</w:t>
      </w:r>
      <w:r>
        <w:rPr>
          <w:rFonts w:hint="eastAsia" w:ascii="方正小标宋简体" w:hAnsi="方正小标宋简体" w:eastAsia="方正小标宋简体" w:cs="方正小标宋简体"/>
          <w:sz w:val="44"/>
          <w:szCs w:val="44"/>
        </w:rPr>
        <w:t>年度全</w:t>
      </w:r>
      <w:r>
        <w:rPr>
          <w:rFonts w:hint="eastAsia" w:ascii="方正小标宋简体" w:hAnsi="方正小标宋简体" w:eastAsia="方正小标宋简体" w:cs="方正小标宋简体"/>
          <w:sz w:val="44"/>
          <w:szCs w:val="44"/>
          <w:lang w:eastAsia="zh-CN"/>
        </w:rPr>
        <w:t>区</w:t>
      </w:r>
      <w:r>
        <w:rPr>
          <w:rFonts w:hint="eastAsia" w:ascii="方正小标宋简体" w:hAnsi="方正小标宋简体" w:eastAsia="方正小标宋简体" w:cs="方正小标宋简体"/>
          <w:sz w:val="44"/>
          <w:szCs w:val="44"/>
        </w:rPr>
        <w:t>建筑施工安全生产</w:t>
      </w:r>
    </w:p>
    <w:p w14:paraId="17661747">
      <w:pPr>
        <w:autoSpaceDN w:val="0"/>
        <w:spacing w:line="60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监督检查计划</w:t>
      </w:r>
    </w:p>
    <w:bookmarkEnd w:id="0"/>
    <w:p w14:paraId="55F3A9D1">
      <w:pPr>
        <w:widowControl w:val="0"/>
        <w:wordWrap/>
        <w:autoSpaceDN w:val="0"/>
        <w:adjustRightInd/>
        <w:snapToGrid/>
        <w:spacing w:before="318" w:beforeLines="100" w:line="560" w:lineRule="exact"/>
        <w:ind w:left="0" w:leftChars="0" w:right="0" w:firstLine="640" w:firstLineChars="200"/>
        <w:jc w:val="both"/>
        <w:textAlignment w:val="auto"/>
        <w:outlineLvl w:val="9"/>
        <w:rPr>
          <w:rFonts w:ascii="仿宋_GB2312" w:hAnsi="仿宋_GB2312" w:eastAsia="仿宋_GB2312" w:cs="Times New Roman"/>
          <w:sz w:val="32"/>
          <w:szCs w:val="32"/>
        </w:rPr>
      </w:pPr>
      <w:r>
        <w:rPr>
          <w:rFonts w:hint="eastAsia" w:ascii="仿宋_GB2312" w:hAnsi="仿宋_GB2312" w:eastAsia="仿宋_GB2312" w:cs="仿宋_GB2312"/>
          <w:color w:val="auto"/>
          <w:sz w:val="32"/>
          <w:szCs w:val="32"/>
        </w:rPr>
        <w:t>为</w:t>
      </w:r>
      <w:r>
        <w:rPr>
          <w:rFonts w:hint="eastAsia" w:ascii="仿宋_GB2312" w:hAnsi="仿宋_GB2312" w:eastAsia="仿宋_GB2312" w:cs="仿宋_GB2312"/>
          <w:sz w:val="32"/>
          <w:szCs w:val="32"/>
        </w:rPr>
        <w:t>进一步落实安全生产行业监管责任，加强建筑施工安全生产监督检查，根据</w:t>
      </w:r>
      <w:r>
        <w:rPr>
          <w:rFonts w:hint="eastAsia" w:ascii="仿宋_GB2312" w:hAnsi="仿宋_GB2312" w:eastAsia="仿宋_GB2312" w:cs="仿宋_GB2312"/>
          <w:sz w:val="32"/>
          <w:szCs w:val="32"/>
          <w:lang w:eastAsia="zh-CN"/>
        </w:rPr>
        <w:t>区委、区政府关于安全生产工作的相关要求</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实际，制定本</w:t>
      </w:r>
      <w:r>
        <w:rPr>
          <w:rFonts w:hint="eastAsia" w:ascii="仿宋_GB2312" w:hAnsi="仿宋_GB2312" w:eastAsia="仿宋_GB2312" w:cs="仿宋_GB2312"/>
          <w:sz w:val="32"/>
          <w:szCs w:val="32"/>
          <w:lang w:eastAsia="zh-CN"/>
        </w:rPr>
        <w:t>监督检查计划</w:t>
      </w:r>
      <w:r>
        <w:rPr>
          <w:rFonts w:hint="eastAsia" w:ascii="仿宋_GB2312" w:hAnsi="仿宋_GB2312" w:eastAsia="仿宋_GB2312" w:cs="仿宋_GB2312"/>
          <w:sz w:val="32"/>
          <w:szCs w:val="32"/>
        </w:rPr>
        <w:t>。</w:t>
      </w:r>
    </w:p>
    <w:p w14:paraId="22E09E29">
      <w:pPr>
        <w:widowControl w:val="0"/>
        <w:wordWrap/>
        <w:autoSpaceDN w:val="0"/>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一、工作目标</w:t>
      </w:r>
    </w:p>
    <w:p w14:paraId="30BCFA33">
      <w:pPr>
        <w:widowControl w:val="0"/>
        <w:wordWrap/>
        <w:autoSpaceDN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eastAsia="zh-CN"/>
        </w:rPr>
        <w:t>安全生产治本攻坚行动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重点，加强安全生产监督检查，督促工程参建各方主体全面落实安全生产主体责任，健全安全生产管理制度，深化安全生产隐患排查治理，着力解决施工现场安全生产薄弱问题，</w:t>
      </w:r>
      <w:r>
        <w:rPr>
          <w:rFonts w:hint="eastAsia" w:ascii="Times New Roman" w:hAnsi="Times New Roman" w:eastAsia="仿宋_GB2312" w:cs="仿宋_GB2312"/>
          <w:sz w:val="32"/>
          <w:szCs w:val="32"/>
        </w:rPr>
        <w:t>切实减少一般事故，有效防范较大事故，坚决遏制重特大事故</w:t>
      </w:r>
      <w:r>
        <w:rPr>
          <w:rFonts w:hint="eastAsia" w:ascii="仿宋_GB2312" w:hAnsi="仿宋_GB2312" w:eastAsia="仿宋_GB2312" w:cs="仿宋_GB2312"/>
          <w:sz w:val="32"/>
          <w:szCs w:val="32"/>
        </w:rPr>
        <w:t>。</w:t>
      </w:r>
    </w:p>
    <w:p w14:paraId="05270708">
      <w:pPr>
        <w:widowControl w:val="0"/>
        <w:wordWrap/>
        <w:autoSpaceDN w:val="0"/>
        <w:adjustRightInd/>
        <w:snapToGrid/>
        <w:spacing w:line="560" w:lineRule="exact"/>
        <w:ind w:left="0" w:leftChars="0" w:right="0" w:firstLine="640" w:firstLineChars="200"/>
        <w:jc w:val="both"/>
        <w:textAlignment w:val="auto"/>
        <w:outlineLvl w:val="9"/>
        <w:rPr>
          <w:rFonts w:ascii="黑体" w:hAnsi="黑体" w:eastAsia="黑体" w:cs="Times New Roman"/>
          <w:sz w:val="32"/>
          <w:szCs w:val="32"/>
        </w:rPr>
      </w:pPr>
      <w:r>
        <w:rPr>
          <w:rFonts w:hint="eastAsia" w:ascii="黑体" w:hAnsi="黑体" w:eastAsia="黑体" w:cs="黑体"/>
          <w:sz w:val="32"/>
          <w:szCs w:val="32"/>
        </w:rPr>
        <w:t>二、检查方式及对象</w:t>
      </w:r>
    </w:p>
    <w:p w14:paraId="75A30FE9">
      <w:pPr>
        <w:widowControl w:val="0"/>
        <w:wordWrap/>
        <w:autoSpaceDN w:val="0"/>
        <w:adjustRightInd/>
        <w:snapToGrid/>
        <w:spacing w:line="560" w:lineRule="exact"/>
        <w:ind w:left="0" w:leftChars="0" w:right="0" w:firstLine="643" w:firstLineChars="200"/>
        <w:jc w:val="both"/>
        <w:textAlignment w:val="auto"/>
        <w:outlineLvl w:val="9"/>
        <w:rPr>
          <w:rFonts w:ascii="仿宋_GB2312" w:hAnsi="仿宋_GB2312" w:eastAsia="仿宋_GB2312" w:cs="Times New Roman"/>
          <w:sz w:val="32"/>
          <w:szCs w:val="32"/>
        </w:rPr>
      </w:pPr>
      <w:r>
        <w:rPr>
          <w:rFonts w:hint="eastAsia" w:ascii="楷体_GB2312" w:hAnsi="楷体_GB2312" w:eastAsia="楷体_GB2312" w:cs="楷体_GB2312"/>
          <w:b/>
          <w:bCs/>
          <w:sz w:val="32"/>
          <w:szCs w:val="32"/>
        </w:rPr>
        <w:t>（一）检查方式。</w:t>
      </w:r>
      <w:r>
        <w:rPr>
          <w:rFonts w:hint="eastAsia" w:ascii="仿宋_GB2312" w:hAnsi="仿宋_GB2312" w:eastAsia="仿宋_GB2312" w:cs="仿宋_GB2312"/>
          <w:sz w:val="32"/>
          <w:szCs w:val="32"/>
        </w:rPr>
        <w:t>监督检查主要分为日常监督检查、专项监督检查、安全生产大检查三种形式，采取计划检查和“双随机”抽查的方式进行。</w:t>
      </w:r>
    </w:p>
    <w:p w14:paraId="70866678">
      <w:pPr>
        <w:widowControl w:val="0"/>
        <w:wordWrap/>
        <w:autoSpaceDN w:val="0"/>
        <w:adjustRightInd/>
        <w:snapToGrid/>
        <w:spacing w:line="560" w:lineRule="exact"/>
        <w:ind w:left="0" w:leftChars="0" w:right="0" w:firstLine="643" w:firstLineChars="200"/>
        <w:jc w:val="both"/>
        <w:textAlignment w:val="auto"/>
        <w:outlineLvl w:val="9"/>
        <w:rPr>
          <w:rFonts w:ascii="仿宋_GB2312" w:hAnsi="仿宋_GB2312" w:eastAsia="仿宋_GB2312" w:cs="Times New Roman"/>
          <w:sz w:val="32"/>
          <w:szCs w:val="32"/>
        </w:rPr>
      </w:pPr>
      <w:r>
        <w:rPr>
          <w:rFonts w:hint="eastAsia" w:ascii="楷体_GB2312" w:hAnsi="楷体_GB2312" w:eastAsia="楷体_GB2312" w:cs="楷体_GB2312"/>
          <w:b/>
          <w:bCs/>
          <w:sz w:val="32"/>
          <w:szCs w:val="32"/>
        </w:rPr>
        <w:t>（二）检查对象。</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建筑施工企业，辖区内在建房屋建筑和市政基础设施工程项目。</w:t>
      </w:r>
    </w:p>
    <w:p w14:paraId="1B601D18">
      <w:pPr>
        <w:widowControl w:val="0"/>
        <w:wordWrap/>
        <w:adjustRightInd/>
        <w:snapToGrid/>
        <w:spacing w:line="560" w:lineRule="exact"/>
        <w:ind w:left="0" w:leftChars="0" w:right="0" w:firstLine="640" w:firstLineChars="200"/>
        <w:jc w:val="both"/>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三、工作计划</w:t>
      </w:r>
    </w:p>
    <w:p w14:paraId="0AEC705B">
      <w:pPr>
        <w:widowControl w:val="0"/>
        <w:wordWrap/>
        <w:adjustRightInd/>
        <w:snapToGrid/>
        <w:spacing w:line="560" w:lineRule="exact"/>
        <w:ind w:left="0" w:leftChars="0" w:right="0" w:firstLine="643" w:firstLineChars="200"/>
        <w:jc w:val="both"/>
        <w:textAlignment w:val="auto"/>
        <w:outlineLvl w:val="9"/>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（一）日常监督检查</w:t>
      </w:r>
    </w:p>
    <w:p w14:paraId="72576C23">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ascii="仿宋_GB2312" w:hAnsi="仿宋_GB2312" w:eastAsia="仿宋_GB2312" w:cs="仿宋_GB2312"/>
          <w:b w:val="0"/>
          <w:bCs w:val="0"/>
          <w:color w:val="000000"/>
          <w:sz w:val="32"/>
          <w:szCs w:val="32"/>
        </w:rPr>
        <w:t>1.</w:t>
      </w:r>
      <w:r>
        <w:rPr>
          <w:rFonts w:hint="eastAsia" w:ascii="仿宋_GB2312" w:hAnsi="仿宋_GB2312" w:eastAsia="仿宋_GB2312" w:cs="仿宋_GB2312"/>
          <w:b w:val="0"/>
          <w:bCs w:val="0"/>
          <w:color w:val="000000"/>
          <w:sz w:val="32"/>
          <w:szCs w:val="32"/>
        </w:rPr>
        <w:t>工程项目日常安全监督检查。</w:t>
      </w:r>
      <w:r>
        <w:rPr>
          <w:rFonts w:hint="eastAsia" w:ascii="仿宋_GB2312" w:hAnsi="仿宋_GB2312" w:eastAsia="仿宋_GB2312" w:cs="仿宋_GB2312"/>
          <w:b w:val="0"/>
          <w:bCs w:val="0"/>
          <w:color w:val="000000"/>
          <w:sz w:val="32"/>
          <w:szCs w:val="32"/>
          <w:lang w:eastAsia="zh-CN"/>
        </w:rPr>
        <w:t>区</w:t>
      </w:r>
      <w:r>
        <w:rPr>
          <w:rFonts w:hint="eastAsia" w:ascii="仿宋_GB2312" w:hAnsi="仿宋_GB2312" w:eastAsia="仿宋_GB2312" w:cs="仿宋_GB2312"/>
          <w:color w:val="000000"/>
          <w:sz w:val="32"/>
          <w:szCs w:val="32"/>
        </w:rPr>
        <w:t>住建局或所属安全监督机构，根据监管项目实际情况，对辖区内监管的所有在建项目开展日常监督检查，原则上对每个工程项目在基础、主体、装饰阶段检查不少于</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次，每年检查不少于</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次。</w:t>
      </w:r>
    </w:p>
    <w:p w14:paraId="7E399B0C">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对存在重大安全隐患和近一年发生过生产安全事故施工企业的在建项目，可结合实际增加监督检查次数。</w:t>
      </w:r>
    </w:p>
    <w:p w14:paraId="6809CE1F">
      <w:pPr>
        <w:widowControl w:val="0"/>
        <w:wordWrap/>
        <w:adjustRightInd/>
        <w:snapToGrid/>
        <w:spacing w:line="560" w:lineRule="exact"/>
        <w:ind w:left="0" w:leftChars="0" w:right="0" w:firstLine="640" w:firstLineChars="200"/>
        <w:jc w:val="both"/>
        <w:textAlignment w:val="auto"/>
        <w:outlineLvl w:val="9"/>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春季复工建筑施工安全生产检查（</w:t>
      </w:r>
      <w:r>
        <w:rPr>
          <w:rFonts w:ascii="仿宋_GB2312" w:eastAsia="仿宋_GB2312" w:cs="仿宋_GB2312"/>
          <w:sz w:val="32"/>
          <w:szCs w:val="32"/>
        </w:rPr>
        <w:t>20</w:t>
      </w:r>
      <w:r>
        <w:rPr>
          <w:rFonts w:hint="eastAsia" w:ascii="仿宋_GB2312" w:eastAsia="仿宋_GB2312" w:cs="仿宋_GB2312"/>
          <w:sz w:val="32"/>
          <w:szCs w:val="32"/>
          <w:lang w:val="en-US" w:eastAsia="zh-CN"/>
        </w:rPr>
        <w:t>26</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月</w:t>
      </w:r>
      <w:r>
        <w:rPr>
          <w:rFonts w:ascii="仿宋_GB2312" w:eastAsia="仿宋_GB2312" w:cs="仿宋_GB2312"/>
          <w:sz w:val="32"/>
          <w:szCs w:val="32"/>
        </w:rPr>
        <w:t>-</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月）</w:t>
      </w:r>
    </w:p>
    <w:p w14:paraId="4411B64E">
      <w:pPr>
        <w:widowControl w:val="0"/>
        <w:wordWrap/>
        <w:adjustRightInd/>
        <w:snapToGrid/>
        <w:spacing w:line="560" w:lineRule="exact"/>
        <w:ind w:left="0" w:leftChars="0" w:right="0" w:firstLine="640" w:firstLineChars="200"/>
        <w:jc w:val="both"/>
        <w:textAlignment w:val="auto"/>
        <w:outlineLvl w:val="9"/>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汛期建筑施工安全检查（</w:t>
      </w:r>
      <w:r>
        <w:rPr>
          <w:rFonts w:ascii="仿宋_GB2312" w:eastAsia="仿宋_GB2312" w:cs="仿宋_GB2312"/>
          <w:sz w:val="32"/>
          <w:szCs w:val="32"/>
        </w:rPr>
        <w:t>20</w:t>
      </w:r>
      <w:r>
        <w:rPr>
          <w:rFonts w:hint="eastAsia" w:ascii="仿宋_GB2312" w:eastAsia="仿宋_GB2312" w:cs="仿宋_GB2312"/>
          <w:sz w:val="32"/>
          <w:szCs w:val="32"/>
          <w:lang w:val="en-US" w:eastAsia="zh-CN"/>
        </w:rPr>
        <w:t>26</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月</w:t>
      </w:r>
      <w:r>
        <w:rPr>
          <w:rFonts w:ascii="仿宋_GB2312" w:eastAsia="仿宋_GB2312" w:cs="仿宋_GB2312"/>
          <w:sz w:val="32"/>
          <w:szCs w:val="32"/>
        </w:rPr>
        <w:t>-9</w:t>
      </w:r>
      <w:r>
        <w:rPr>
          <w:rFonts w:hint="eastAsia" w:ascii="仿宋_GB2312" w:eastAsia="仿宋_GB2312" w:cs="仿宋_GB2312"/>
          <w:sz w:val="32"/>
          <w:szCs w:val="32"/>
        </w:rPr>
        <w:t>月）</w:t>
      </w:r>
    </w:p>
    <w:p w14:paraId="15683561">
      <w:pPr>
        <w:widowControl w:val="0"/>
        <w:wordWrap/>
        <w:adjustRightInd/>
        <w:snapToGrid/>
        <w:spacing w:line="560" w:lineRule="exact"/>
        <w:ind w:left="0" w:leftChars="0" w:right="0" w:firstLine="640" w:firstLineChars="200"/>
        <w:jc w:val="both"/>
        <w:textAlignment w:val="auto"/>
        <w:outlineLvl w:val="9"/>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冬季施工安全生产检查（</w:t>
      </w:r>
      <w:r>
        <w:rPr>
          <w:rFonts w:ascii="仿宋_GB2312" w:eastAsia="仿宋_GB2312" w:cs="仿宋_GB2312"/>
          <w:sz w:val="32"/>
          <w:szCs w:val="32"/>
        </w:rPr>
        <w:t>20</w:t>
      </w:r>
      <w:r>
        <w:rPr>
          <w:rFonts w:hint="eastAsia" w:ascii="仿宋_GB2312" w:eastAsia="仿宋_GB2312" w:cs="仿宋_GB2312"/>
          <w:sz w:val="32"/>
          <w:szCs w:val="32"/>
          <w:lang w:val="en-US" w:eastAsia="zh-CN"/>
        </w:rPr>
        <w:t>26</w:t>
      </w:r>
      <w:r>
        <w:rPr>
          <w:rFonts w:hint="eastAsia" w:ascii="仿宋_GB2312" w:eastAsia="仿宋_GB2312" w:cs="仿宋_GB2312"/>
          <w:sz w:val="32"/>
          <w:szCs w:val="32"/>
        </w:rPr>
        <w:t>年</w:t>
      </w:r>
      <w:r>
        <w:rPr>
          <w:rFonts w:ascii="仿宋_GB2312" w:eastAsia="仿宋_GB2312" w:cs="仿宋_GB2312"/>
          <w:sz w:val="32"/>
          <w:szCs w:val="32"/>
        </w:rPr>
        <w:t>11</w:t>
      </w:r>
      <w:r>
        <w:rPr>
          <w:rFonts w:hint="eastAsia" w:ascii="仿宋_GB2312" w:eastAsia="仿宋_GB2312" w:cs="仿宋_GB2312"/>
          <w:sz w:val="32"/>
          <w:szCs w:val="32"/>
        </w:rPr>
        <w:t>月</w:t>
      </w:r>
      <w:r>
        <w:rPr>
          <w:rFonts w:ascii="仿宋_GB2312" w:eastAsia="仿宋_GB2312" w:cs="仿宋_GB2312"/>
          <w:sz w:val="32"/>
          <w:szCs w:val="32"/>
        </w:rPr>
        <w:t>-</w:t>
      </w:r>
      <w:r>
        <w:rPr>
          <w:rFonts w:hint="eastAsia" w:ascii="仿宋_GB2312" w:eastAsia="仿宋_GB2312" w:cs="仿宋_GB2312"/>
          <w:sz w:val="32"/>
          <w:szCs w:val="32"/>
        </w:rPr>
        <w:t>次年</w:t>
      </w:r>
      <w:r>
        <w:rPr>
          <w:rFonts w:ascii="仿宋_GB2312" w:eastAsia="仿宋_GB2312" w:cs="仿宋_GB2312"/>
          <w:sz w:val="32"/>
          <w:szCs w:val="32"/>
        </w:rPr>
        <w:t>1</w:t>
      </w:r>
      <w:r>
        <w:rPr>
          <w:rFonts w:hint="eastAsia" w:ascii="仿宋_GB2312" w:eastAsia="仿宋_GB2312" w:cs="仿宋_GB2312"/>
          <w:sz w:val="32"/>
          <w:szCs w:val="32"/>
        </w:rPr>
        <w:t>月）</w:t>
      </w:r>
    </w:p>
    <w:p w14:paraId="6773F75F">
      <w:pPr>
        <w:widowControl w:val="0"/>
        <w:wordWrap/>
        <w:adjustRightInd/>
        <w:snapToGrid/>
        <w:spacing w:line="560" w:lineRule="exact"/>
        <w:ind w:left="0" w:leftChars="0" w:right="0" w:firstLine="643" w:firstLineChars="200"/>
        <w:jc w:val="both"/>
        <w:textAlignment w:val="auto"/>
        <w:outlineLvl w:val="9"/>
        <w:rPr>
          <w:rFonts w:ascii="仿宋_GB2312" w:hAnsi="仿宋_GB2312" w:eastAsia="仿宋_GB2312" w:cs="Times New Roman"/>
          <w:color w:val="000000"/>
          <w:sz w:val="32"/>
          <w:szCs w:val="32"/>
        </w:rPr>
      </w:pPr>
      <w:r>
        <w:rPr>
          <w:rFonts w:hint="eastAsia" w:ascii="楷体_GB2312" w:hAnsi="楷体_GB2312" w:eastAsia="楷体_GB2312" w:cs="楷体_GB2312"/>
          <w:b/>
          <w:bCs/>
          <w:color w:val="000000"/>
          <w:sz w:val="32"/>
          <w:szCs w:val="32"/>
        </w:rPr>
        <w:t>（二）专项监督检查</w:t>
      </w:r>
    </w:p>
    <w:p w14:paraId="71D536C1">
      <w:pPr>
        <w:widowControl w:val="0"/>
        <w:wordWrap/>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根据国家、省、市、区工作安排的各类</w:t>
      </w:r>
      <w:r>
        <w:rPr>
          <w:rFonts w:hint="eastAsia" w:ascii="仿宋_GB2312" w:hAnsi="仿宋_GB2312" w:eastAsia="仿宋_GB2312" w:cs="仿宋_GB2312"/>
          <w:color w:val="000000"/>
          <w:sz w:val="32"/>
          <w:szCs w:val="32"/>
          <w:lang w:eastAsia="zh-CN"/>
        </w:rPr>
        <w:t>房屋市政工程</w:t>
      </w:r>
      <w:r>
        <w:rPr>
          <w:rFonts w:hint="eastAsia" w:ascii="仿宋_GB2312" w:hAnsi="仿宋_GB2312" w:eastAsia="仿宋_GB2312" w:cs="仿宋_GB2312"/>
          <w:color w:val="000000"/>
          <w:sz w:val="32"/>
          <w:szCs w:val="32"/>
          <w:lang w:val="en-US" w:eastAsia="zh-CN"/>
        </w:rPr>
        <w:t>专项监督检查（2026年全年）</w:t>
      </w:r>
      <w:r>
        <w:rPr>
          <w:rFonts w:hint="eastAsia" w:ascii="仿宋_GB2312" w:hAnsi="仿宋_GB2312" w:eastAsia="仿宋_GB2312" w:cs="仿宋_GB2312"/>
          <w:color w:val="000000"/>
          <w:sz w:val="32"/>
          <w:szCs w:val="32"/>
        </w:rPr>
        <w:t>；</w:t>
      </w:r>
    </w:p>
    <w:p w14:paraId="61746BAC">
      <w:pPr>
        <w:widowControl w:val="0"/>
        <w:wordWrap/>
        <w:adjustRightInd/>
        <w:snapToGrid/>
        <w:spacing w:line="560" w:lineRule="exact"/>
        <w:ind w:left="0" w:leftChars="0" w:right="0" w:firstLine="643" w:firstLineChars="200"/>
        <w:jc w:val="both"/>
        <w:textAlignment w:val="auto"/>
        <w:outlineLvl w:val="9"/>
        <w:rPr>
          <w:rFonts w:hint="eastAsia" w:ascii="楷体_GB2312" w:hAnsi="楷体_GB2312" w:eastAsia="楷体_GB2312" w:cs="楷体_GB2312"/>
          <w:color w:val="000000"/>
          <w:sz w:val="32"/>
          <w:szCs w:val="32"/>
        </w:rPr>
      </w:pPr>
      <w:r>
        <w:rPr>
          <w:rFonts w:hint="eastAsia" w:ascii="楷体_GB2312" w:hAnsi="楷体_GB2312" w:eastAsia="楷体_GB2312" w:cs="楷体_GB2312"/>
          <w:b/>
          <w:bCs/>
          <w:color w:val="000000"/>
          <w:sz w:val="32"/>
          <w:szCs w:val="32"/>
        </w:rPr>
        <w:t>（三）安全生产大检查</w:t>
      </w:r>
    </w:p>
    <w:p w14:paraId="055FF788">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根据省住建厅、</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政府安委办和市住建局关于安全生产大检查的有关要求，组织开展建筑施工安全生产大检查。</w:t>
      </w:r>
    </w:p>
    <w:p w14:paraId="6F9833C0">
      <w:pPr>
        <w:widowControl w:val="0"/>
        <w:wordWrap/>
        <w:adjustRightInd/>
        <w:snapToGrid/>
        <w:spacing w:line="560" w:lineRule="exact"/>
        <w:ind w:left="0" w:leftChars="0" w:right="0" w:firstLine="640" w:firstLineChars="200"/>
        <w:jc w:val="both"/>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四、重点检查内容</w:t>
      </w:r>
    </w:p>
    <w:p w14:paraId="0130BFF0">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住建局认真贯彻落实安全生产工作的安排部署情况；开展日常安全监督检查、专项检查和安全生产大检查等情况。</w:t>
      </w:r>
    </w:p>
    <w:p w14:paraId="2F4D056F">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（二）建设、监理、施工等参建单位履行安全生产职责情况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主要包括安全生产责任制建立落实情况、安全生产隐患排查治理情况、安全专职人员以及</w:t>
      </w:r>
      <w:r>
        <w:rPr>
          <w:rFonts w:hint="eastAsia" w:ascii="仿宋_GB2312" w:eastAsia="仿宋_GB2312" w:cs="仿宋_GB2312"/>
          <w:sz w:val="32"/>
          <w:szCs w:val="32"/>
        </w:rPr>
        <w:t>特种作业人员</w:t>
      </w:r>
      <w:r>
        <w:rPr>
          <w:rFonts w:hint="eastAsia" w:ascii="仿宋_GB2312" w:hAnsi="仿宋_GB2312" w:eastAsia="仿宋_GB2312" w:cs="仿宋_GB2312"/>
          <w:color w:val="000000"/>
          <w:sz w:val="32"/>
          <w:szCs w:val="32"/>
        </w:rPr>
        <w:t>配备情况、</w:t>
      </w:r>
      <w:r>
        <w:rPr>
          <w:rFonts w:hint="eastAsia" w:ascii="仿宋_GB2312" w:eastAsia="仿宋_GB2312" w:cs="仿宋_GB2312"/>
          <w:sz w:val="32"/>
          <w:szCs w:val="32"/>
        </w:rPr>
        <w:t>危险性较大分部分项工程专项方案制定</w:t>
      </w:r>
      <w:r>
        <w:rPr>
          <w:rFonts w:hint="eastAsia" w:ascii="仿宋_GB2312" w:eastAsia="仿宋_GB2312" w:cs="仿宋_GB2312"/>
          <w:sz w:val="32"/>
          <w:szCs w:val="32"/>
          <w:lang w:eastAsia="zh-CN"/>
        </w:rPr>
        <w:t>审批</w:t>
      </w:r>
      <w:r>
        <w:rPr>
          <w:rFonts w:hint="eastAsia" w:ascii="仿宋_GB2312" w:eastAsia="仿宋_GB2312" w:cs="仿宋_GB2312"/>
          <w:sz w:val="32"/>
          <w:szCs w:val="32"/>
        </w:rPr>
        <w:t>和专家论证审查情况、</w:t>
      </w:r>
      <w:r>
        <w:rPr>
          <w:rFonts w:hint="eastAsia" w:ascii="仿宋_GB2312" w:hAnsi="仿宋_GB2312" w:eastAsia="仿宋_GB2312" w:cs="仿宋_GB2312"/>
          <w:color w:val="000000"/>
          <w:sz w:val="32"/>
          <w:szCs w:val="32"/>
        </w:rPr>
        <w:t>安全文明施工措施费投入使用情况、应急预案制订及演练情况、施工扬尘污染控制情况、</w:t>
      </w:r>
      <w:r>
        <w:rPr>
          <w:rFonts w:hint="eastAsia" w:ascii="仿宋_GB2312" w:hAnsi="Arial" w:eastAsia="仿宋_GB2312" w:cs="仿宋_GB2312"/>
          <w:kern w:val="0"/>
          <w:sz w:val="32"/>
          <w:szCs w:val="32"/>
        </w:rPr>
        <w:t>消防安全和工地食堂食品安全管理情况</w:t>
      </w:r>
      <w:r>
        <w:rPr>
          <w:rFonts w:hint="eastAsia" w:ascii="仿宋_GB2312" w:hAnsi="仿宋_GB2312" w:eastAsia="仿宋_GB2312" w:cs="仿宋_GB2312"/>
          <w:color w:val="000000"/>
          <w:sz w:val="32"/>
          <w:szCs w:val="32"/>
        </w:rPr>
        <w:t>等。</w:t>
      </w:r>
    </w:p>
    <w:p w14:paraId="7B626249">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（三）安全生产标准化工作推进情况。建筑施工企业和项目安全生产标准化自评情况，建筑施工安全生产标准化考评工作开展情况。</w:t>
      </w:r>
    </w:p>
    <w:p w14:paraId="1945DD54">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（四）依法应当监督检查的其他情况。专项监督检查重点可根据建筑安全生产形势有针对性的调整。</w:t>
      </w:r>
    </w:p>
    <w:p w14:paraId="62D37909">
      <w:pPr>
        <w:widowControl w:val="0"/>
        <w:wordWrap/>
        <w:adjustRightInd/>
        <w:snapToGrid/>
        <w:spacing w:line="560" w:lineRule="exact"/>
        <w:ind w:left="0" w:leftChars="0" w:right="0" w:firstLine="640" w:firstLineChars="200"/>
        <w:jc w:val="both"/>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五、工作要求</w:t>
      </w:r>
    </w:p>
    <w:p w14:paraId="77CBEB23">
      <w:pPr>
        <w:widowControl w:val="0"/>
        <w:wordWrap/>
        <w:adjustRightInd/>
        <w:snapToGrid/>
        <w:spacing w:line="560" w:lineRule="exact"/>
        <w:ind w:left="0" w:leftChars="0" w:right="0" w:firstLine="643" w:firstLineChars="200"/>
        <w:jc w:val="both"/>
        <w:textAlignment w:val="auto"/>
        <w:outlineLvl w:val="9"/>
        <w:rPr>
          <w:rFonts w:ascii="仿宋_GB2312" w:hAnsi="仿宋_GB2312" w:eastAsia="仿宋_GB2312" w:cs="Times New Roman"/>
          <w:color w:val="000000"/>
          <w:sz w:val="32"/>
          <w:szCs w:val="32"/>
        </w:rPr>
      </w:pPr>
      <w:r>
        <w:rPr>
          <w:rFonts w:hint="eastAsia" w:ascii="楷体_GB2312" w:hAnsi="楷体_GB2312" w:eastAsia="楷体_GB2312" w:cs="楷体_GB2312"/>
          <w:b/>
          <w:bCs/>
          <w:color w:val="000000"/>
          <w:sz w:val="32"/>
          <w:szCs w:val="32"/>
        </w:rPr>
        <w:t>（一）加强组织领导。</w:t>
      </w:r>
      <w:r>
        <w:rPr>
          <w:rFonts w:hint="eastAsia" w:ascii="仿宋_GB2312" w:hAnsi="仿宋_GB2312" w:eastAsia="仿宋_GB2312" w:cs="仿宋_GB2312"/>
          <w:color w:val="000000"/>
          <w:sz w:val="32"/>
          <w:szCs w:val="32"/>
        </w:rPr>
        <w:t>局相关科室要高度重视安全生产监督检查工作，将其列入重要议事日程，加强领导，精心安排，组织实施。</w:t>
      </w:r>
    </w:p>
    <w:p w14:paraId="33F6A5E7">
      <w:pPr>
        <w:widowControl w:val="0"/>
        <w:wordWrap/>
        <w:adjustRightInd/>
        <w:snapToGrid/>
        <w:spacing w:line="560" w:lineRule="exact"/>
        <w:ind w:left="0" w:leftChars="0" w:right="0" w:firstLine="643" w:firstLineChars="200"/>
        <w:jc w:val="both"/>
        <w:textAlignment w:val="auto"/>
        <w:outlineLvl w:val="9"/>
        <w:rPr>
          <w:rFonts w:ascii="仿宋_GB2312" w:hAnsi="仿宋_GB2312" w:eastAsia="仿宋_GB2312" w:cs="Times New Roman"/>
          <w:color w:val="000000"/>
          <w:sz w:val="32"/>
          <w:szCs w:val="32"/>
        </w:rPr>
      </w:pPr>
      <w:r>
        <w:rPr>
          <w:rFonts w:hint="eastAsia" w:ascii="楷体_GB2312" w:hAnsi="楷体_GB2312" w:eastAsia="楷体_GB2312" w:cs="楷体_GB2312"/>
          <w:b/>
          <w:bCs/>
          <w:color w:val="000000"/>
          <w:sz w:val="32"/>
          <w:szCs w:val="32"/>
        </w:rPr>
        <w:t>（二）落实检查计划。</w:t>
      </w:r>
      <w:r>
        <w:rPr>
          <w:rFonts w:hint="eastAsia" w:ascii="仿宋_GB2312" w:hAnsi="仿宋_GB2312" w:eastAsia="仿宋_GB2312" w:cs="仿宋_GB2312"/>
          <w:color w:val="000000"/>
          <w:sz w:val="32"/>
          <w:szCs w:val="32"/>
        </w:rPr>
        <w:t>局相关科室要落实监督检查计划，扎实做好监督检查的各项工作，做到所有在建工程监督检查全覆盖。同时，要认真贯彻落实省住建厅、</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政府安委办和市住建局关于安全生产监督检查工作的安排部署，统筹安排、协调推进，确保监督检查工作取得实效。</w:t>
      </w:r>
    </w:p>
    <w:p w14:paraId="3321E34B">
      <w:pPr>
        <w:widowControl w:val="0"/>
        <w:wordWrap/>
        <w:adjustRightInd/>
        <w:snapToGrid/>
        <w:spacing w:line="560" w:lineRule="exact"/>
        <w:ind w:left="0" w:leftChars="0" w:right="0" w:firstLine="643" w:firstLineChars="200"/>
        <w:jc w:val="both"/>
        <w:textAlignment w:val="auto"/>
        <w:outlineLvl w:val="9"/>
        <w:rPr>
          <w:rFonts w:ascii="楷体_GB2312" w:hAnsi="楷体_GB2312" w:eastAsia="楷体_GB2312" w:cs="Times New Roman"/>
          <w:b/>
          <w:bCs/>
          <w:kern w:val="0"/>
          <w:sz w:val="32"/>
          <w:szCs w:val="32"/>
        </w:rPr>
      </w:pPr>
      <w:r>
        <w:rPr>
          <w:rFonts w:hint="eastAsia" w:ascii="楷体_GB2312" w:hAnsi="楷体_GB2312" w:eastAsia="楷体_GB2312" w:cs="楷体_GB2312"/>
          <w:b/>
          <w:bCs/>
          <w:kern w:val="0"/>
          <w:sz w:val="32"/>
          <w:szCs w:val="32"/>
        </w:rPr>
        <w:t>（三）严肃责任追究。</w:t>
      </w:r>
      <w:r>
        <w:rPr>
          <w:rFonts w:hint="eastAsia" w:ascii="仿宋_GB2312" w:hAnsi="仿宋_GB2312" w:eastAsia="仿宋_GB2312" w:cs="仿宋_GB2312"/>
          <w:color w:val="000000"/>
          <w:sz w:val="32"/>
          <w:szCs w:val="32"/>
        </w:rPr>
        <w:t>局相关科室要加强监督执法，对监督检查计划没有针对性、不制定现场检查方案、不填写现场检查记录、发现问题不进行处理处罚、对重大隐患整改情况不进行跟踪督办的，要依法依规进行问责。</w:t>
      </w:r>
    </w:p>
    <w:p w14:paraId="257DA2D2">
      <w:pPr>
        <w:widowControl w:val="0"/>
        <w:wordWrap/>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000000"/>
          <w:sz w:val="32"/>
          <w:szCs w:val="32"/>
        </w:rPr>
      </w:pPr>
    </w:p>
    <w:p w14:paraId="19745FDB">
      <w:pPr>
        <w:widowControl w:val="0"/>
        <w:wordWrap/>
        <w:adjustRightInd/>
        <w:snapToGrid/>
        <w:spacing w:line="560" w:lineRule="exact"/>
        <w:ind w:left="0" w:leftChars="0" w:right="0" w:firstLine="640" w:firstLineChars="200"/>
        <w:jc w:val="both"/>
        <w:textAlignment w:val="auto"/>
        <w:outlineLvl w:val="9"/>
        <w:rPr>
          <w:rFonts w:ascii="仿宋_GB2312" w:hAnsi="仿宋_GB2312" w:eastAsia="仿宋_GB2312" w:cs="Times New Roman"/>
          <w:color w:val="000000"/>
          <w:sz w:val="32"/>
          <w:szCs w:val="32"/>
        </w:rPr>
        <w:sectPr>
          <w:headerReference r:id="rId3" w:type="default"/>
          <w:footerReference r:id="rId4" w:type="default"/>
          <w:pgSz w:w="11850" w:h="16783"/>
          <w:pgMar w:top="2098" w:right="1417" w:bottom="1587" w:left="1474" w:header="851" w:footer="567" w:gutter="0"/>
          <w:paperSrc/>
          <w:pgNumType w:fmt="numberInDash"/>
          <w:cols w:space="720" w:num="1"/>
          <w:titlePg/>
          <w:rtlGutter w:val="0"/>
          <w:docGrid w:type="lines" w:linePitch="318" w:charSpace="0"/>
        </w:sect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年度建筑施工安全生产监督检查计划表</w:t>
      </w:r>
    </w:p>
    <w:p w14:paraId="07D79EDF">
      <w:pPr>
        <w:spacing w:line="60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w:t>
      </w:r>
    </w:p>
    <w:p w14:paraId="3E6B2647">
      <w:pPr>
        <w:spacing w:line="600" w:lineRule="exact"/>
        <w:jc w:val="center"/>
        <w:rPr>
          <w:rFonts w:ascii="方正小标宋简体" w:hAnsi="方正小标宋简体" w:eastAsia="方正小标宋简体" w:cs="Times New Roman"/>
          <w:color w:val="000000"/>
          <w:sz w:val="44"/>
          <w:szCs w:val="44"/>
        </w:rPr>
      </w:pPr>
      <w:r>
        <w:rPr>
          <w:rFonts w:ascii="方正小标宋简体" w:hAnsi="方正小标宋简体" w:eastAsia="方正小标宋简体" w:cs="方正小标宋简体"/>
          <w:color w:val="000000"/>
          <w:sz w:val="44"/>
          <w:szCs w:val="44"/>
        </w:rPr>
        <w:t>20</w:t>
      </w:r>
      <w:r>
        <w:rPr>
          <w:rFonts w:hint="eastAsia" w:ascii="方正小标宋简体" w:hAnsi="方正小标宋简体" w:eastAsia="方正小标宋简体" w:cs="方正小标宋简体"/>
          <w:color w:val="000000"/>
          <w:sz w:val="44"/>
          <w:szCs w:val="44"/>
          <w:lang w:val="en-US" w:eastAsia="zh-CN"/>
        </w:rPr>
        <w:t>26</w:t>
      </w:r>
      <w:r>
        <w:rPr>
          <w:rFonts w:hint="eastAsia" w:ascii="方正小标宋简体" w:hAnsi="方正小标宋简体" w:eastAsia="方正小标宋简体" w:cs="方正小标宋简体"/>
          <w:color w:val="000000"/>
          <w:sz w:val="44"/>
          <w:szCs w:val="44"/>
        </w:rPr>
        <w:t>年度建筑施工安全生产监督检查计划表</w:t>
      </w:r>
    </w:p>
    <w:p w14:paraId="2209D780">
      <w:pPr>
        <w:rPr>
          <w:rFonts w:cs="Times New Roman"/>
        </w:rPr>
      </w:pPr>
    </w:p>
    <w:tbl>
      <w:tblPr>
        <w:tblStyle w:val="5"/>
        <w:tblW w:w="14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2175"/>
        <w:gridCol w:w="4215"/>
        <w:gridCol w:w="1815"/>
        <w:gridCol w:w="3270"/>
        <w:gridCol w:w="2020"/>
      </w:tblGrid>
      <w:tr w14:paraId="66BB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91" w:type="dxa"/>
            <w:vAlign w:val="center"/>
          </w:tcPr>
          <w:p w14:paraId="4A57158F">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序号</w:t>
            </w:r>
          </w:p>
        </w:tc>
        <w:tc>
          <w:tcPr>
            <w:tcW w:w="2175" w:type="dxa"/>
            <w:vAlign w:val="center"/>
          </w:tcPr>
          <w:p w14:paraId="576BC10C">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类别</w:t>
            </w:r>
          </w:p>
        </w:tc>
        <w:tc>
          <w:tcPr>
            <w:tcW w:w="4215" w:type="dxa"/>
            <w:vAlign w:val="center"/>
          </w:tcPr>
          <w:p w14:paraId="1E675D2A">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检查名称</w:t>
            </w:r>
          </w:p>
        </w:tc>
        <w:tc>
          <w:tcPr>
            <w:tcW w:w="1815" w:type="dxa"/>
            <w:vAlign w:val="center"/>
          </w:tcPr>
          <w:p w14:paraId="3483A300">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检查方式</w:t>
            </w:r>
          </w:p>
        </w:tc>
        <w:tc>
          <w:tcPr>
            <w:tcW w:w="3270" w:type="dxa"/>
            <w:vAlign w:val="center"/>
          </w:tcPr>
          <w:p w14:paraId="16D75FE4">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检查比例</w:t>
            </w:r>
          </w:p>
        </w:tc>
        <w:tc>
          <w:tcPr>
            <w:tcW w:w="2020" w:type="dxa"/>
            <w:vAlign w:val="center"/>
          </w:tcPr>
          <w:p w14:paraId="4AD492A2">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时间安排</w:t>
            </w:r>
          </w:p>
        </w:tc>
      </w:tr>
      <w:tr w14:paraId="43CF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91" w:type="dxa"/>
            <w:vAlign w:val="center"/>
          </w:tcPr>
          <w:p w14:paraId="6D3F50C1">
            <w:pPr>
              <w:adjustRightInd w:val="0"/>
              <w:spacing w:line="400" w:lineRule="exact"/>
              <w:jc w:val="center"/>
              <w:rPr>
                <w:rFonts w:ascii="仿宋_GB2312" w:hAnsi="仿宋" w:eastAsia="仿宋_GB2312" w:cs="仿宋_GB2312"/>
                <w:w w:val="90"/>
                <w:sz w:val="30"/>
                <w:szCs w:val="30"/>
              </w:rPr>
            </w:pPr>
            <w:r>
              <w:rPr>
                <w:rFonts w:ascii="仿宋_GB2312" w:hAnsi="仿宋" w:eastAsia="仿宋_GB2312" w:cs="仿宋_GB2312"/>
                <w:w w:val="90"/>
                <w:sz w:val="30"/>
                <w:szCs w:val="30"/>
              </w:rPr>
              <w:t>1</w:t>
            </w:r>
          </w:p>
        </w:tc>
        <w:tc>
          <w:tcPr>
            <w:tcW w:w="2175" w:type="dxa"/>
            <w:vMerge w:val="restart"/>
            <w:vAlign w:val="center"/>
          </w:tcPr>
          <w:p w14:paraId="4BFF788A">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常规监督检查</w:t>
            </w:r>
          </w:p>
        </w:tc>
        <w:tc>
          <w:tcPr>
            <w:tcW w:w="4215" w:type="dxa"/>
            <w:vAlign w:val="center"/>
          </w:tcPr>
          <w:p w14:paraId="39E43CFD">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工程项目日常安全监督检查</w:t>
            </w:r>
          </w:p>
        </w:tc>
        <w:tc>
          <w:tcPr>
            <w:tcW w:w="1815" w:type="dxa"/>
            <w:vAlign w:val="center"/>
          </w:tcPr>
          <w:p w14:paraId="04BDF837">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计划检查</w:t>
            </w:r>
          </w:p>
        </w:tc>
        <w:tc>
          <w:tcPr>
            <w:tcW w:w="3270" w:type="dxa"/>
            <w:vAlign w:val="center"/>
          </w:tcPr>
          <w:p w14:paraId="7565FD6E">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原则上每个工程项目在基础、主体、装饰阶段不少于</w:t>
            </w:r>
            <w:r>
              <w:rPr>
                <w:rFonts w:ascii="仿宋_GB2312" w:hAnsi="仿宋" w:eastAsia="仿宋_GB2312" w:cs="仿宋_GB2312"/>
                <w:w w:val="90"/>
                <w:sz w:val="30"/>
                <w:szCs w:val="30"/>
              </w:rPr>
              <w:t>1</w:t>
            </w:r>
            <w:r>
              <w:rPr>
                <w:rFonts w:hint="eastAsia" w:ascii="仿宋_GB2312" w:hAnsi="仿宋" w:eastAsia="仿宋_GB2312" w:cs="仿宋_GB2312"/>
                <w:w w:val="90"/>
                <w:sz w:val="30"/>
                <w:szCs w:val="30"/>
              </w:rPr>
              <w:t>次，每年不少于</w:t>
            </w:r>
            <w:r>
              <w:rPr>
                <w:rFonts w:ascii="仿宋_GB2312" w:hAnsi="仿宋" w:eastAsia="仿宋_GB2312" w:cs="仿宋_GB2312"/>
                <w:w w:val="90"/>
                <w:sz w:val="30"/>
                <w:szCs w:val="30"/>
              </w:rPr>
              <w:t>3</w:t>
            </w:r>
            <w:r>
              <w:rPr>
                <w:rFonts w:hint="eastAsia" w:ascii="仿宋_GB2312" w:hAnsi="仿宋" w:eastAsia="仿宋_GB2312" w:cs="仿宋_GB2312"/>
                <w:w w:val="90"/>
                <w:sz w:val="30"/>
                <w:szCs w:val="30"/>
              </w:rPr>
              <w:t>次</w:t>
            </w:r>
          </w:p>
        </w:tc>
        <w:tc>
          <w:tcPr>
            <w:tcW w:w="2020" w:type="dxa"/>
            <w:vAlign w:val="center"/>
          </w:tcPr>
          <w:p w14:paraId="7BC79D59">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全年</w:t>
            </w:r>
          </w:p>
        </w:tc>
      </w:tr>
      <w:tr w14:paraId="7C27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91" w:type="dxa"/>
            <w:vAlign w:val="center"/>
          </w:tcPr>
          <w:p w14:paraId="3CA2CDCD">
            <w:pPr>
              <w:adjustRightInd w:val="0"/>
              <w:spacing w:line="400" w:lineRule="exact"/>
              <w:jc w:val="center"/>
              <w:rPr>
                <w:rFonts w:ascii="仿宋_GB2312" w:hAnsi="仿宋" w:eastAsia="仿宋_GB2312" w:cs="仿宋_GB2312"/>
                <w:w w:val="90"/>
                <w:sz w:val="30"/>
                <w:szCs w:val="30"/>
              </w:rPr>
            </w:pPr>
            <w:r>
              <w:rPr>
                <w:rFonts w:ascii="仿宋_GB2312" w:hAnsi="仿宋" w:eastAsia="仿宋_GB2312" w:cs="仿宋_GB2312"/>
                <w:w w:val="90"/>
                <w:sz w:val="30"/>
                <w:szCs w:val="30"/>
              </w:rPr>
              <w:t>2</w:t>
            </w:r>
          </w:p>
        </w:tc>
        <w:tc>
          <w:tcPr>
            <w:tcW w:w="2175" w:type="dxa"/>
            <w:vMerge w:val="continue"/>
            <w:vAlign w:val="center"/>
          </w:tcPr>
          <w:p w14:paraId="4F7F6095">
            <w:pPr>
              <w:adjustRightInd w:val="0"/>
              <w:spacing w:line="400" w:lineRule="exact"/>
              <w:jc w:val="center"/>
              <w:rPr>
                <w:rFonts w:ascii="仿宋_GB2312" w:hAnsi="仿宋" w:eastAsia="仿宋_GB2312" w:cs="仿宋_GB2312"/>
                <w:w w:val="90"/>
                <w:sz w:val="30"/>
                <w:szCs w:val="30"/>
              </w:rPr>
            </w:pPr>
          </w:p>
        </w:tc>
        <w:tc>
          <w:tcPr>
            <w:tcW w:w="4215" w:type="dxa"/>
            <w:vAlign w:val="center"/>
          </w:tcPr>
          <w:p w14:paraId="36A1FC16">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春季复工建筑施工安全生产检查</w:t>
            </w:r>
          </w:p>
        </w:tc>
        <w:tc>
          <w:tcPr>
            <w:tcW w:w="1815" w:type="dxa"/>
            <w:vAlign w:val="center"/>
          </w:tcPr>
          <w:p w14:paraId="0D19CDB1">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“双随机”抽查</w:t>
            </w:r>
          </w:p>
        </w:tc>
        <w:tc>
          <w:tcPr>
            <w:tcW w:w="3270" w:type="dxa"/>
            <w:vAlign w:val="center"/>
          </w:tcPr>
          <w:p w14:paraId="21158FDE">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专项方案中确定</w:t>
            </w:r>
          </w:p>
        </w:tc>
        <w:tc>
          <w:tcPr>
            <w:tcW w:w="2020" w:type="dxa"/>
            <w:vAlign w:val="center"/>
          </w:tcPr>
          <w:p w14:paraId="0441A035">
            <w:pPr>
              <w:adjustRightInd w:val="0"/>
              <w:spacing w:line="400" w:lineRule="exact"/>
              <w:jc w:val="center"/>
              <w:rPr>
                <w:rFonts w:ascii="仿宋_GB2312" w:hAnsi="仿宋" w:eastAsia="仿宋_GB2312" w:cs="Times New Roman"/>
                <w:w w:val="90"/>
                <w:sz w:val="30"/>
                <w:szCs w:val="30"/>
              </w:rPr>
            </w:pPr>
            <w:r>
              <w:rPr>
                <w:rFonts w:ascii="仿宋_GB2312" w:hAnsi="仿宋" w:eastAsia="仿宋_GB2312" w:cs="仿宋_GB2312"/>
                <w:w w:val="90"/>
                <w:sz w:val="30"/>
                <w:szCs w:val="30"/>
              </w:rPr>
              <w:t>4</w:t>
            </w:r>
            <w:r>
              <w:rPr>
                <w:rFonts w:hint="eastAsia" w:ascii="仿宋_GB2312" w:hAnsi="仿宋" w:eastAsia="仿宋_GB2312" w:cs="仿宋_GB2312"/>
                <w:w w:val="90"/>
                <w:sz w:val="30"/>
                <w:szCs w:val="30"/>
              </w:rPr>
              <w:t>月</w:t>
            </w:r>
            <w:r>
              <w:rPr>
                <w:rFonts w:ascii="仿宋_GB2312" w:hAnsi="仿宋" w:eastAsia="仿宋_GB2312" w:cs="仿宋_GB2312"/>
                <w:w w:val="90"/>
                <w:sz w:val="30"/>
                <w:szCs w:val="30"/>
              </w:rPr>
              <w:t>-5</w:t>
            </w:r>
            <w:r>
              <w:rPr>
                <w:rFonts w:hint="eastAsia" w:ascii="仿宋_GB2312" w:hAnsi="仿宋" w:eastAsia="仿宋_GB2312" w:cs="仿宋_GB2312"/>
                <w:w w:val="90"/>
                <w:sz w:val="30"/>
                <w:szCs w:val="30"/>
              </w:rPr>
              <w:t>月</w:t>
            </w:r>
          </w:p>
        </w:tc>
      </w:tr>
      <w:tr w14:paraId="3162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91" w:type="dxa"/>
            <w:vAlign w:val="center"/>
          </w:tcPr>
          <w:p w14:paraId="22C66639">
            <w:pPr>
              <w:adjustRightInd w:val="0"/>
              <w:spacing w:line="400" w:lineRule="exact"/>
              <w:jc w:val="center"/>
              <w:rPr>
                <w:rFonts w:ascii="仿宋_GB2312" w:hAnsi="仿宋" w:eastAsia="仿宋_GB2312" w:cs="仿宋_GB2312"/>
                <w:w w:val="90"/>
                <w:sz w:val="30"/>
                <w:szCs w:val="30"/>
              </w:rPr>
            </w:pPr>
            <w:r>
              <w:rPr>
                <w:rFonts w:ascii="仿宋_GB2312" w:hAnsi="仿宋" w:eastAsia="仿宋_GB2312" w:cs="仿宋_GB2312"/>
                <w:w w:val="90"/>
                <w:sz w:val="30"/>
                <w:szCs w:val="30"/>
              </w:rPr>
              <w:t>3</w:t>
            </w:r>
          </w:p>
        </w:tc>
        <w:tc>
          <w:tcPr>
            <w:tcW w:w="2175" w:type="dxa"/>
            <w:vMerge w:val="continue"/>
            <w:vAlign w:val="center"/>
          </w:tcPr>
          <w:p w14:paraId="024F3498">
            <w:pPr>
              <w:adjustRightInd w:val="0"/>
              <w:spacing w:line="400" w:lineRule="exact"/>
              <w:jc w:val="center"/>
              <w:rPr>
                <w:rFonts w:ascii="仿宋_GB2312" w:hAnsi="仿宋" w:eastAsia="仿宋_GB2312" w:cs="仿宋_GB2312"/>
                <w:w w:val="90"/>
                <w:sz w:val="30"/>
                <w:szCs w:val="30"/>
              </w:rPr>
            </w:pPr>
          </w:p>
        </w:tc>
        <w:tc>
          <w:tcPr>
            <w:tcW w:w="4215" w:type="dxa"/>
            <w:vAlign w:val="center"/>
          </w:tcPr>
          <w:p w14:paraId="305198F8">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汛期建筑施工安全生产检查</w:t>
            </w:r>
          </w:p>
        </w:tc>
        <w:tc>
          <w:tcPr>
            <w:tcW w:w="1815" w:type="dxa"/>
            <w:vAlign w:val="center"/>
          </w:tcPr>
          <w:p w14:paraId="556D44C1">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“双随机”抽查</w:t>
            </w:r>
          </w:p>
        </w:tc>
        <w:tc>
          <w:tcPr>
            <w:tcW w:w="3270" w:type="dxa"/>
            <w:vAlign w:val="center"/>
          </w:tcPr>
          <w:p w14:paraId="2F4B3C0D">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专项方案中确定</w:t>
            </w:r>
          </w:p>
        </w:tc>
        <w:tc>
          <w:tcPr>
            <w:tcW w:w="2020" w:type="dxa"/>
            <w:vAlign w:val="center"/>
          </w:tcPr>
          <w:p w14:paraId="1822A121">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lang w:val="en-US" w:eastAsia="zh-CN"/>
              </w:rPr>
              <w:t>6</w:t>
            </w:r>
            <w:r>
              <w:rPr>
                <w:rFonts w:hint="eastAsia" w:ascii="仿宋_GB2312" w:hAnsi="仿宋" w:eastAsia="仿宋_GB2312" w:cs="仿宋_GB2312"/>
                <w:w w:val="90"/>
                <w:sz w:val="30"/>
                <w:szCs w:val="30"/>
              </w:rPr>
              <w:t>月</w:t>
            </w:r>
            <w:r>
              <w:rPr>
                <w:rFonts w:ascii="仿宋_GB2312" w:hAnsi="仿宋" w:eastAsia="仿宋_GB2312" w:cs="仿宋_GB2312"/>
                <w:w w:val="90"/>
                <w:sz w:val="30"/>
                <w:szCs w:val="30"/>
              </w:rPr>
              <w:t>-9</w:t>
            </w:r>
            <w:r>
              <w:rPr>
                <w:rFonts w:hint="eastAsia" w:ascii="仿宋_GB2312" w:hAnsi="仿宋" w:eastAsia="仿宋_GB2312" w:cs="仿宋_GB2312"/>
                <w:w w:val="90"/>
                <w:sz w:val="30"/>
                <w:szCs w:val="30"/>
              </w:rPr>
              <w:t>月</w:t>
            </w:r>
          </w:p>
        </w:tc>
      </w:tr>
      <w:tr w14:paraId="5F66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91" w:type="dxa"/>
            <w:vAlign w:val="center"/>
          </w:tcPr>
          <w:p w14:paraId="01709985">
            <w:pPr>
              <w:adjustRightInd w:val="0"/>
              <w:spacing w:line="400" w:lineRule="exact"/>
              <w:jc w:val="center"/>
              <w:rPr>
                <w:rFonts w:ascii="仿宋_GB2312" w:hAnsi="仿宋" w:eastAsia="仿宋_GB2312" w:cs="仿宋_GB2312"/>
                <w:w w:val="90"/>
                <w:sz w:val="30"/>
                <w:szCs w:val="30"/>
              </w:rPr>
            </w:pPr>
            <w:r>
              <w:rPr>
                <w:rFonts w:ascii="仿宋_GB2312" w:hAnsi="仿宋" w:eastAsia="仿宋_GB2312" w:cs="仿宋_GB2312"/>
                <w:w w:val="90"/>
                <w:sz w:val="30"/>
                <w:szCs w:val="30"/>
              </w:rPr>
              <w:t>4</w:t>
            </w:r>
          </w:p>
        </w:tc>
        <w:tc>
          <w:tcPr>
            <w:tcW w:w="2175" w:type="dxa"/>
            <w:vMerge w:val="continue"/>
            <w:vAlign w:val="center"/>
          </w:tcPr>
          <w:p w14:paraId="6197E6E9">
            <w:pPr>
              <w:adjustRightInd w:val="0"/>
              <w:spacing w:line="400" w:lineRule="exact"/>
              <w:jc w:val="center"/>
              <w:rPr>
                <w:rFonts w:ascii="仿宋_GB2312" w:hAnsi="仿宋" w:eastAsia="仿宋_GB2312" w:cs="仿宋_GB2312"/>
                <w:w w:val="90"/>
                <w:sz w:val="30"/>
                <w:szCs w:val="30"/>
              </w:rPr>
            </w:pPr>
          </w:p>
        </w:tc>
        <w:tc>
          <w:tcPr>
            <w:tcW w:w="4215" w:type="dxa"/>
            <w:vAlign w:val="center"/>
          </w:tcPr>
          <w:p w14:paraId="2D5F6688">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冬季施工安全生产检查</w:t>
            </w:r>
          </w:p>
        </w:tc>
        <w:tc>
          <w:tcPr>
            <w:tcW w:w="1815" w:type="dxa"/>
            <w:vAlign w:val="center"/>
          </w:tcPr>
          <w:p w14:paraId="5E612C26">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“双随机”抽查</w:t>
            </w:r>
          </w:p>
        </w:tc>
        <w:tc>
          <w:tcPr>
            <w:tcW w:w="3270" w:type="dxa"/>
            <w:vAlign w:val="center"/>
          </w:tcPr>
          <w:p w14:paraId="1950F441">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专项方案中确定</w:t>
            </w:r>
          </w:p>
        </w:tc>
        <w:tc>
          <w:tcPr>
            <w:tcW w:w="2020" w:type="dxa"/>
            <w:vAlign w:val="center"/>
          </w:tcPr>
          <w:p w14:paraId="0A8252A2">
            <w:pPr>
              <w:adjustRightInd w:val="0"/>
              <w:spacing w:line="400" w:lineRule="exact"/>
              <w:jc w:val="center"/>
              <w:rPr>
                <w:rFonts w:ascii="仿宋_GB2312" w:hAnsi="仿宋" w:eastAsia="仿宋_GB2312" w:cs="Times New Roman"/>
                <w:w w:val="90"/>
                <w:sz w:val="30"/>
                <w:szCs w:val="30"/>
              </w:rPr>
            </w:pPr>
            <w:r>
              <w:rPr>
                <w:rFonts w:ascii="仿宋_GB2312" w:hAnsi="仿宋" w:eastAsia="仿宋_GB2312" w:cs="仿宋_GB2312"/>
                <w:w w:val="90"/>
                <w:sz w:val="30"/>
                <w:szCs w:val="30"/>
              </w:rPr>
              <w:t>11</w:t>
            </w:r>
            <w:r>
              <w:rPr>
                <w:rFonts w:hint="eastAsia" w:ascii="仿宋_GB2312" w:hAnsi="仿宋" w:eastAsia="仿宋_GB2312" w:cs="仿宋_GB2312"/>
                <w:w w:val="90"/>
                <w:sz w:val="30"/>
                <w:szCs w:val="30"/>
              </w:rPr>
              <w:t>月</w:t>
            </w:r>
            <w:r>
              <w:rPr>
                <w:rFonts w:ascii="仿宋_GB2312" w:hAnsi="仿宋" w:eastAsia="仿宋_GB2312" w:cs="仿宋_GB2312"/>
                <w:w w:val="90"/>
                <w:sz w:val="30"/>
                <w:szCs w:val="30"/>
              </w:rPr>
              <w:t>-</w:t>
            </w:r>
            <w:r>
              <w:rPr>
                <w:rFonts w:hint="eastAsia" w:ascii="仿宋_GB2312" w:hAnsi="仿宋" w:eastAsia="仿宋_GB2312" w:cs="仿宋_GB2312"/>
                <w:w w:val="90"/>
                <w:sz w:val="30"/>
                <w:szCs w:val="30"/>
              </w:rPr>
              <w:t>次年</w:t>
            </w:r>
            <w:r>
              <w:rPr>
                <w:rFonts w:ascii="仿宋_GB2312" w:hAnsi="仿宋" w:eastAsia="仿宋_GB2312" w:cs="仿宋_GB2312"/>
                <w:w w:val="90"/>
                <w:sz w:val="30"/>
                <w:szCs w:val="30"/>
              </w:rPr>
              <w:t>1</w:t>
            </w:r>
            <w:r>
              <w:rPr>
                <w:rFonts w:hint="eastAsia" w:ascii="仿宋_GB2312" w:hAnsi="仿宋" w:eastAsia="仿宋_GB2312" w:cs="仿宋_GB2312"/>
                <w:w w:val="90"/>
                <w:sz w:val="30"/>
                <w:szCs w:val="30"/>
              </w:rPr>
              <w:t>月</w:t>
            </w:r>
          </w:p>
        </w:tc>
      </w:tr>
      <w:tr w14:paraId="2B70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91" w:type="dxa"/>
            <w:vAlign w:val="center"/>
          </w:tcPr>
          <w:p w14:paraId="33E45C38">
            <w:pPr>
              <w:adjustRightInd w:val="0"/>
              <w:spacing w:line="400" w:lineRule="exact"/>
              <w:jc w:val="center"/>
              <w:rPr>
                <w:rFonts w:ascii="仿宋_GB2312" w:hAnsi="仿宋" w:eastAsia="仿宋_GB2312" w:cs="仿宋_GB2312"/>
                <w:w w:val="90"/>
                <w:sz w:val="30"/>
                <w:szCs w:val="30"/>
              </w:rPr>
            </w:pPr>
            <w:r>
              <w:rPr>
                <w:rFonts w:ascii="仿宋_GB2312" w:hAnsi="仿宋" w:eastAsia="仿宋_GB2312" w:cs="仿宋_GB2312"/>
                <w:w w:val="90"/>
                <w:sz w:val="30"/>
                <w:szCs w:val="30"/>
              </w:rPr>
              <w:t>5</w:t>
            </w:r>
          </w:p>
        </w:tc>
        <w:tc>
          <w:tcPr>
            <w:tcW w:w="2175" w:type="dxa"/>
            <w:vAlign w:val="center"/>
          </w:tcPr>
          <w:p w14:paraId="1F1EBBEA">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专项监督检查</w:t>
            </w:r>
          </w:p>
        </w:tc>
        <w:tc>
          <w:tcPr>
            <w:tcW w:w="4215" w:type="dxa"/>
            <w:vAlign w:val="center"/>
          </w:tcPr>
          <w:p w14:paraId="00AC503B">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lang w:val="en-US" w:eastAsia="zh-CN"/>
              </w:rPr>
              <w:t>根据国家、省、市、区工作安排的各类</w:t>
            </w:r>
            <w:r>
              <w:rPr>
                <w:rFonts w:hint="eastAsia" w:ascii="仿宋_GB2312" w:hAnsi="仿宋" w:eastAsia="仿宋_GB2312" w:cs="仿宋_GB2312"/>
                <w:w w:val="90"/>
                <w:sz w:val="30"/>
                <w:szCs w:val="30"/>
                <w:lang w:eastAsia="zh-CN"/>
              </w:rPr>
              <w:t>房屋市政工程</w:t>
            </w:r>
            <w:r>
              <w:rPr>
                <w:rFonts w:hint="eastAsia" w:ascii="仿宋_GB2312" w:hAnsi="仿宋" w:eastAsia="仿宋_GB2312" w:cs="仿宋_GB2312"/>
                <w:w w:val="90"/>
                <w:sz w:val="30"/>
                <w:szCs w:val="30"/>
                <w:lang w:val="en-US" w:eastAsia="zh-CN"/>
              </w:rPr>
              <w:t>专项监督检查</w:t>
            </w:r>
          </w:p>
        </w:tc>
        <w:tc>
          <w:tcPr>
            <w:tcW w:w="1815" w:type="dxa"/>
            <w:vAlign w:val="center"/>
          </w:tcPr>
          <w:p w14:paraId="488922B4">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“双随机”抽查</w:t>
            </w:r>
          </w:p>
        </w:tc>
        <w:tc>
          <w:tcPr>
            <w:tcW w:w="3270" w:type="dxa"/>
            <w:vAlign w:val="center"/>
          </w:tcPr>
          <w:p w14:paraId="38887C89">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专项方案中确定</w:t>
            </w:r>
          </w:p>
        </w:tc>
        <w:tc>
          <w:tcPr>
            <w:tcW w:w="2020" w:type="dxa"/>
            <w:vAlign w:val="center"/>
          </w:tcPr>
          <w:p w14:paraId="5FEF6EBA">
            <w:pPr>
              <w:adjustRightInd w:val="0"/>
              <w:spacing w:line="400" w:lineRule="exact"/>
              <w:jc w:val="center"/>
              <w:rPr>
                <w:rFonts w:ascii="仿宋_GB2312" w:hAnsi="仿宋" w:eastAsia="仿宋_GB2312" w:cs="Times New Roman"/>
                <w:w w:val="90"/>
                <w:sz w:val="30"/>
                <w:szCs w:val="30"/>
              </w:rPr>
            </w:pPr>
            <w:r>
              <w:rPr>
                <w:rFonts w:hint="eastAsia" w:ascii="仿宋_GB2312" w:hAnsi="仿宋_GB2312" w:eastAsia="仿宋_GB2312" w:cs="仿宋_GB2312"/>
                <w:color w:val="000000"/>
                <w:sz w:val="32"/>
                <w:szCs w:val="32"/>
                <w:lang w:val="en-US" w:eastAsia="zh-CN"/>
              </w:rPr>
              <w:t>2026年全年</w:t>
            </w:r>
          </w:p>
        </w:tc>
      </w:tr>
      <w:tr w14:paraId="064C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591" w:type="dxa"/>
            <w:vAlign w:val="center"/>
          </w:tcPr>
          <w:p w14:paraId="2377428D">
            <w:pPr>
              <w:adjustRightInd w:val="0"/>
              <w:spacing w:line="400" w:lineRule="exact"/>
              <w:jc w:val="center"/>
              <w:rPr>
                <w:rFonts w:hint="eastAsia" w:ascii="仿宋_GB2312" w:hAnsi="仿宋" w:eastAsia="仿宋_GB2312" w:cs="仿宋_GB2312"/>
                <w:w w:val="90"/>
                <w:sz w:val="30"/>
                <w:szCs w:val="30"/>
                <w:lang w:eastAsia="zh-CN"/>
              </w:rPr>
            </w:pPr>
            <w:r>
              <w:rPr>
                <w:rFonts w:hint="eastAsia" w:ascii="仿宋_GB2312" w:hAnsi="仿宋" w:eastAsia="仿宋_GB2312" w:cs="仿宋_GB2312"/>
                <w:w w:val="90"/>
                <w:sz w:val="30"/>
                <w:szCs w:val="30"/>
                <w:lang w:val="en-US" w:eastAsia="zh-CN"/>
              </w:rPr>
              <w:t>6</w:t>
            </w:r>
          </w:p>
        </w:tc>
        <w:tc>
          <w:tcPr>
            <w:tcW w:w="2175" w:type="dxa"/>
            <w:vAlign w:val="center"/>
          </w:tcPr>
          <w:p w14:paraId="533AB726">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安全生产大检查</w:t>
            </w:r>
          </w:p>
        </w:tc>
        <w:tc>
          <w:tcPr>
            <w:tcW w:w="4215" w:type="dxa"/>
            <w:vAlign w:val="center"/>
          </w:tcPr>
          <w:p w14:paraId="106E5AB0">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安全生产大检查</w:t>
            </w:r>
          </w:p>
        </w:tc>
        <w:tc>
          <w:tcPr>
            <w:tcW w:w="1815" w:type="dxa"/>
            <w:vAlign w:val="center"/>
          </w:tcPr>
          <w:p w14:paraId="1B62FD12">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全面检查</w:t>
            </w:r>
          </w:p>
        </w:tc>
        <w:tc>
          <w:tcPr>
            <w:tcW w:w="3270" w:type="dxa"/>
            <w:vAlign w:val="center"/>
          </w:tcPr>
          <w:p w14:paraId="1F8349EA">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专项方案中确定</w:t>
            </w:r>
          </w:p>
        </w:tc>
        <w:tc>
          <w:tcPr>
            <w:tcW w:w="2020" w:type="dxa"/>
            <w:vAlign w:val="center"/>
          </w:tcPr>
          <w:p w14:paraId="3F8CCD39">
            <w:pPr>
              <w:adjustRightInd w:val="0"/>
              <w:spacing w:line="400" w:lineRule="exact"/>
              <w:jc w:val="center"/>
              <w:rPr>
                <w:rFonts w:ascii="仿宋_GB2312" w:hAnsi="仿宋" w:eastAsia="仿宋_GB2312" w:cs="Times New Roman"/>
                <w:w w:val="90"/>
                <w:sz w:val="30"/>
                <w:szCs w:val="30"/>
              </w:rPr>
            </w:pPr>
            <w:r>
              <w:rPr>
                <w:rFonts w:hint="eastAsia" w:ascii="仿宋_GB2312" w:hAnsi="仿宋" w:eastAsia="仿宋_GB2312" w:cs="仿宋_GB2312"/>
                <w:w w:val="90"/>
                <w:sz w:val="30"/>
                <w:szCs w:val="30"/>
              </w:rPr>
              <w:t>按照</w:t>
            </w:r>
            <w:r>
              <w:rPr>
                <w:rFonts w:hint="eastAsia" w:ascii="仿宋_GB2312" w:hAnsi="仿宋" w:eastAsia="仿宋_GB2312" w:cs="仿宋_GB2312"/>
                <w:w w:val="90"/>
                <w:sz w:val="30"/>
                <w:szCs w:val="30"/>
                <w:lang w:eastAsia="zh-CN"/>
              </w:rPr>
              <w:t>区</w:t>
            </w:r>
            <w:r>
              <w:rPr>
                <w:rFonts w:hint="eastAsia" w:ascii="仿宋_GB2312" w:hAnsi="仿宋" w:eastAsia="仿宋_GB2312" w:cs="仿宋_GB2312"/>
                <w:w w:val="90"/>
                <w:sz w:val="30"/>
                <w:szCs w:val="30"/>
              </w:rPr>
              <w:t>政府安委办要求确定时间</w:t>
            </w:r>
          </w:p>
        </w:tc>
      </w:tr>
    </w:tbl>
    <w:p w14:paraId="3175E86A">
      <w:pPr>
        <w:tabs>
          <w:tab w:val="left" w:pos="798"/>
        </w:tabs>
        <w:jc w:val="left"/>
        <w:rPr>
          <w:lang w:val="en-US" w:eastAsia="zh-CN"/>
        </w:rPr>
      </w:pPr>
    </w:p>
    <w:sectPr>
      <w:pgSz w:w="16783" w:h="11850" w:orient="landscape"/>
      <w:pgMar w:top="1191" w:right="1701" w:bottom="1191" w:left="851" w:header="851" w:footer="567" w:gutter="0"/>
      <w:pgNumType w:fmt="numberInDash"/>
      <w:cols w:space="720" w:num="1"/>
      <w:titlePg/>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EU-B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9AA34">
    <w:pPr>
      <w:pStyle w:val="3"/>
      <w:framePr w:wrap="around" w:vAnchor="text" w:hAnchor="margin" w:xAlign="center" w:y="1"/>
      <w:rPr>
        <w:rStyle w:val="8"/>
        <w:rFonts w:cs="Times New Roman"/>
      </w:rPr>
    </w:pPr>
    <w:r>
      <w:rPr>
        <w:rStyle w:val="8"/>
      </w:rPr>
      <w:fldChar w:fldCharType="begin"/>
    </w:r>
    <w:r>
      <w:rPr>
        <w:rStyle w:val="8"/>
      </w:rPr>
      <w:instrText xml:space="preserve">PAGE  </w:instrText>
    </w:r>
    <w:r>
      <w:rPr>
        <w:rStyle w:val="8"/>
      </w:rPr>
      <w:fldChar w:fldCharType="separate"/>
    </w:r>
    <w:r>
      <w:rPr>
        <w:rStyle w:val="8"/>
      </w:rPr>
      <w:t>- 2 -</w:t>
    </w:r>
    <w:r>
      <w:rPr>
        <w:rStyle w:val="8"/>
      </w:rPr>
      <w:fldChar w:fldCharType="end"/>
    </w:r>
  </w:p>
  <w:p w14:paraId="590C9CEA">
    <w:pPr>
      <w:pStyle w:val="3"/>
      <w:ind w:right="360"/>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8277F">
    <w:pPr>
      <w:pStyle w:val="4"/>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56344A"/>
    <w:rsid w:val="001544DC"/>
    <w:rsid w:val="001D1459"/>
    <w:rsid w:val="001E170E"/>
    <w:rsid w:val="00266E3A"/>
    <w:rsid w:val="00317496"/>
    <w:rsid w:val="003960F4"/>
    <w:rsid w:val="0040592C"/>
    <w:rsid w:val="0045552E"/>
    <w:rsid w:val="005C7979"/>
    <w:rsid w:val="008E1152"/>
    <w:rsid w:val="009C725D"/>
    <w:rsid w:val="009E738B"/>
    <w:rsid w:val="00A079BB"/>
    <w:rsid w:val="00A07D11"/>
    <w:rsid w:val="00AE2AD5"/>
    <w:rsid w:val="00B46902"/>
    <w:rsid w:val="00B5696D"/>
    <w:rsid w:val="00E51530"/>
    <w:rsid w:val="00F24F57"/>
    <w:rsid w:val="00F26D42"/>
    <w:rsid w:val="00FA0BC3"/>
    <w:rsid w:val="02722053"/>
    <w:rsid w:val="08B9797D"/>
    <w:rsid w:val="0A8A37B8"/>
    <w:rsid w:val="0E6662DC"/>
    <w:rsid w:val="0FA73B95"/>
    <w:rsid w:val="101944EA"/>
    <w:rsid w:val="114E42B5"/>
    <w:rsid w:val="135234F4"/>
    <w:rsid w:val="153E6BD2"/>
    <w:rsid w:val="16F875DB"/>
    <w:rsid w:val="1711240B"/>
    <w:rsid w:val="17C4410C"/>
    <w:rsid w:val="1F5B684A"/>
    <w:rsid w:val="23C40D38"/>
    <w:rsid w:val="24113AAF"/>
    <w:rsid w:val="2AF55D57"/>
    <w:rsid w:val="2B9C553B"/>
    <w:rsid w:val="2F5C77FE"/>
    <w:rsid w:val="301C0AB7"/>
    <w:rsid w:val="336207EE"/>
    <w:rsid w:val="33E60F90"/>
    <w:rsid w:val="368D0EDC"/>
    <w:rsid w:val="38595067"/>
    <w:rsid w:val="39FB5519"/>
    <w:rsid w:val="3F4420EA"/>
    <w:rsid w:val="3F9F0692"/>
    <w:rsid w:val="3FF36876"/>
    <w:rsid w:val="448717BB"/>
    <w:rsid w:val="46C36F1C"/>
    <w:rsid w:val="470B6BB0"/>
    <w:rsid w:val="486B3C4A"/>
    <w:rsid w:val="488974FB"/>
    <w:rsid w:val="4912717D"/>
    <w:rsid w:val="49924896"/>
    <w:rsid w:val="4B8F293F"/>
    <w:rsid w:val="4CFB03B1"/>
    <w:rsid w:val="50B661A2"/>
    <w:rsid w:val="54224648"/>
    <w:rsid w:val="5867769F"/>
    <w:rsid w:val="5E0736C3"/>
    <w:rsid w:val="5F1C7FD9"/>
    <w:rsid w:val="62EF163A"/>
    <w:rsid w:val="68590884"/>
    <w:rsid w:val="699D3A5E"/>
    <w:rsid w:val="6A56344A"/>
    <w:rsid w:val="6C3D462C"/>
    <w:rsid w:val="6E1312A9"/>
    <w:rsid w:val="71437C23"/>
    <w:rsid w:val="716731CB"/>
    <w:rsid w:val="724C151F"/>
    <w:rsid w:val="72FCCAF0"/>
    <w:rsid w:val="734B3150"/>
    <w:rsid w:val="73F85787"/>
    <w:rsid w:val="7988749C"/>
    <w:rsid w:val="7B272026"/>
    <w:rsid w:val="7D39416E"/>
    <w:rsid w:val="7ECF6106"/>
    <w:rsid w:val="7F623FC4"/>
    <w:rsid w:val="BF9E77A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3"/>
    <w:semiHidden/>
    <w:qFormat/>
    <w:locked/>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99"/>
  </w:style>
  <w:style w:type="paragraph" w:customStyle="1" w:styleId="9">
    <w:name w:val="默认段落字体 Para Char Char Char Char"/>
    <w:basedOn w:val="1"/>
    <w:qFormat/>
    <w:uiPriority w:val="99"/>
  </w:style>
  <w:style w:type="paragraph" w:customStyle="1" w:styleId="10">
    <w:name w:val="p0"/>
    <w:basedOn w:val="1"/>
    <w:qFormat/>
    <w:uiPriority w:val="99"/>
    <w:pPr>
      <w:widowControl/>
    </w:pPr>
    <w:rPr>
      <w:kern w:val="0"/>
    </w:rPr>
  </w:style>
  <w:style w:type="character" w:customStyle="1" w:styleId="11">
    <w:name w:val="Footer Char"/>
    <w:basedOn w:val="7"/>
    <w:link w:val="3"/>
    <w:semiHidden/>
    <w:qFormat/>
    <w:locked/>
    <w:uiPriority w:val="99"/>
    <w:rPr>
      <w:sz w:val="18"/>
      <w:szCs w:val="18"/>
    </w:rPr>
  </w:style>
  <w:style w:type="character" w:customStyle="1" w:styleId="12">
    <w:name w:val="Header Char"/>
    <w:basedOn w:val="7"/>
    <w:link w:val="4"/>
    <w:semiHidden/>
    <w:qFormat/>
    <w:locked/>
    <w:uiPriority w:val="99"/>
    <w:rPr>
      <w:sz w:val="18"/>
      <w:szCs w:val="18"/>
    </w:rPr>
  </w:style>
  <w:style w:type="character" w:customStyle="1" w:styleId="13">
    <w:name w:val="Balloon Text Char"/>
    <w:basedOn w:val="7"/>
    <w:link w:val="2"/>
    <w:semiHidden/>
    <w:qFormat/>
    <w:uiPriority w:val="99"/>
    <w:rPr>
      <w:rFonts w:cs="Calibri"/>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4</Pages>
  <Words>1791</Words>
  <Characters>1836</Characters>
  <Lines>0</Lines>
  <Paragraphs>0</Paragraphs>
  <TotalTime>11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2018-03-14T23:56:00Z</dcterms:created>
  <dc:creator>Acgeln</dc:creator>
  <cp:lastModifiedBy>sugon</cp:lastModifiedBy>
  <cp:lastPrinted>2026-04-27T11:33:00Z</cp:lastPrinted>
  <dcterms:modified xsi:type="dcterms:W3CDTF">2026-07-28T16:52:08Z</dcterms:modified>
  <dc:title>长上住建发〔2026〕27号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42D80E6097B54A81B86D686A47AB1EF5_43</vt:lpwstr>
  </property>
  <property fmtid="{D5CDD505-2E9C-101B-9397-08002B2CF9AE}" pid="4" name="KSOTemplateDocerSaveRecord">
    <vt:lpwstr>eyJoZGlkIjoiMmJiYjI3NDRjZTQyZGY1ZWIwZTZhNGNjYWVjZjZjZTAifQ==</vt:lpwstr>
  </property>
</Properties>
</file>