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40" w:lineRule="atLeast"/>
        <w:jc w:val="left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3：</w:t>
      </w:r>
    </w:p>
    <w:p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施工工地扬尘治检查表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0" w:firstLineChars="0"/>
        <w:textAlignment w:val="auto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</w:p>
    <w:tbl>
      <w:tblPr>
        <w:tblStyle w:val="4"/>
        <w:tblpPr w:leftFromText="180" w:rightFromText="180" w:vertAnchor="text" w:horzAnchor="page" w:tblpX="1840" w:tblpY="239"/>
        <w:tblOverlap w:val="never"/>
        <w:tblW w:w="8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1186"/>
        <w:gridCol w:w="4766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4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检查内容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检查标准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eastAsia="zh-CN"/>
              </w:rPr>
              <w:t>检查结论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施工现场围挡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无围挡，围挡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封闭，围挡材质或高度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（城市范围主要路段高度不小于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2.5米；一般路段高度不小于1.8米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符合要求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施工道路及堆场硬化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主要施工道路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硬化，堆场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硬化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进出车辆冲洗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无冲洗设施，冲洗设施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能正常使用。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无排水沟、沉淀池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裸土及易尘材料覆盖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场区内裸土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易尘材料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覆盖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渣土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运输与建筑垃圾处置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渣土或垃圾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密闭运输，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建筑垃圾是否及时处理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扬尘在线监测和视频监控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扬尘在线监测设备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安装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能正常使用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。是否与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上党融媒体智慧平台联网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扬尘防治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公示栏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扬尘防治标识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符合要求，防治措施及标识内容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有无缺失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喷雾降尘与道路保洁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配备喷雾、洒水等设施，道路或应保洁的场地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有积尘，出入口市政路面有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明显泥污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材料机具堆放管理</w:t>
            </w:r>
          </w:p>
        </w:tc>
        <w:tc>
          <w:tcPr>
            <w:tcW w:w="47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建材、构配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件是否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按规定分类堆放，钢筋、钢管、钢构件、木材等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是否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离地凌空架设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、是否覆盖</w:t>
            </w:r>
          </w:p>
        </w:tc>
        <w:tc>
          <w:tcPr>
            <w:tcW w:w="23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3ODZlY2YxMDVhMzkwMGZmMjUzOGY2MWIwN2Y5YTMifQ=="/>
  </w:docVars>
  <w:rsids>
    <w:rsidRoot w:val="44FF18E0"/>
    <w:rsid w:val="44FF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宋体" w:cs="Times New Roman"/>
      <w:kern w:val="2"/>
      <w:sz w:val="32"/>
      <w:szCs w:val="32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2024-03-01T01:41:00Z</dcterms:created>
  <dc:creator>常晓龙</dc:creator>
  <cp:lastModifiedBy>常晓龙</cp:lastModifiedBy>
  <dcterms:modified xsi:type="dcterms:W3CDTF">2024-03-01T01:41:47Z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40FFA71132D243DB95A3DE67F07D93A0_11</vt:lpwstr>
  </property>
</Properties>
</file>