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</w:rPr>
        <w:t>长治县住建局201</w:t>
      </w: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7</w:t>
      </w:r>
      <w:r>
        <w:rPr>
          <w:rFonts w:hint="eastAsia" w:ascii="宋体" w:hAnsi="宋体" w:eastAsia="宋体" w:cs="宋体"/>
          <w:sz w:val="52"/>
          <w:szCs w:val="52"/>
        </w:rPr>
        <w:t>年政府信息公开年度报告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根据《中华人民共和国政府信息公开条例》的规定，现公布长治县住建局201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政府信息公开工作年度报告。本报告由概述、主动公开政府信息情况、依申请公开政府信息及咨询受理情况、政府信息公开相关费用情况、申请行政复议及提起行政诉讼情况、政府信息公开工作取得的成果及改进情况、下一年度政府信息公开工作要点七部分组成。报告中所列数据的统计期限自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年1月1日起至201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年12月31日止。现向社会公布我局201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年政府信息公开工作年度报告。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一、概述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以来，长治县住建局认真贯彻落实《中华人民共和国政府信息公开条例》，立足部门职能，进一步健全组织机构、加强监督检查，积极稳步地开展政府信息公开工作，保障了政府信息公开工作依法、及时、准确、有序地开展。全年主要工作情况如下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（一）加强领导，全面推动信息公开工作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县政府关于做好信息公开工作的要求，在县政府的正确领导下，政府信息公开工作稳步推进，加强组织领导，及时调整充实了人员队伍。在日常工作中，把政府信息公开工作纳入重要议事日程，通过文件审核、上网信息、等环节完善信息公开运行机制，做到政府信息公开与各项工作紧密结合，同步推进。同时规范了信息发布流程，确保网站更新及时、准确、有效，进一步提高了信息公开的效率与质量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（二）明确责任。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指定专人负责信息公开工作，做好公开信息审查、网络维护、信息报送、实时更新等工作。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（三）加强信息员队伍建设。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定期组织业务培训，及时报送工作动态信息，严格执行公开审查程序，确保信息公开的及时性、准确性。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（四）拓宽政府信息公开渠道。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利用各种传统公开方式的同时，加强网上公开，方便群众了解相关信息。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 主动公开政府信息情况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我局历年累计公开政府信息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条，其中201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年主动公开政府信息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条，全文电子化达100%，全部在网站上公布。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年度公开的政府信息中，财政信息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条，主要内容为我局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墙改办三公经费的预算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招标公示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份，主要内容为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工程建设项目的招标公告及计划变更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规划审批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份，主要内容为201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各工程的详细规划设计方案及规划调整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 依申请公开政府信息办理情况和咨询处理情况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年，我局受理申请的信息主要是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工程建设项目招标及工程办理规划许可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等内容。对申请者均做了满意的答复，对申请中不属于我局职责范围的，我局均做了说明和指引。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四、政府信息公开相关费用情况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年，未发生依申请提供政府信息支出费用。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五、因政府信息公开申请行政复议、提起行政诉讼的情况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年，我局未发生有关政府信息公开方面的行政复议、提起行政诉讼的情况。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六、政府信息公开工作取得的成果及改进情况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年，长治县住建局在政府信息公开工作方面加强了组织领导，狠抓了机制落实，夯实了工作基础，取得了一定的成绩。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60606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存在不足：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一是重视不够，没有将政府信息公开提升到与工作同等高度来对待，缺乏推进条件和氛围；二是宣传不力。由于宣传造势上的不足，政府信息公开尚未被群众熟知和认可；三是公开内容的及时性和完整性还有待进一步提高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七、下一年度政府信息公开工作要点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年，我局将本着量力而行、尽力而为，积极稳妥、有的放矢的原则，采取切实可行的措施化解矛盾、破解障碍，为政府信息公开顺利推进创造条件。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一是强化组织领导。要通过组织学习、召开会议等多种方式，进一步提高对政府信息公开工作重要性的认识，增强政府信息公开工作的责任感和使命感，坚持把政府信息公开列入日常工作议程。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二是进一步加大信息公开的宣传、学习、培训力度。利用多种媒体和宣传渠道发布公开信息，提高信息的知晓度，进一步加强政府信息公开工作面向社会的宣传力度；加强对局干部职工信息公开知识的学习，加强信息公开人员的业务知识培训，使政府信息公开更好地服务于社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三是进一步建立和完善政府信息公开评议制度。在加强内部监督检查的同时，积极开展社会监督，对政府信息公开内容、便民程度以及公开的效果、群众的满意度、群众意见建议和投诉处理的落实情况等进行综合评议、考核，推动政府信息公开工作深入开展。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长治县住建局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5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2018-04-27T00:50:46Z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