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长治市上党区财政局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政务公开“三审三校”制度及工作流程图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b w:val="0"/>
          <w:bCs w:val="0"/>
          <w:sz w:val="32"/>
          <w:szCs w:val="32"/>
        </w:rPr>
      </w:pP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为进一步规范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长治市上党区财政局在长治市上党区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人民政府网站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上的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信息发布流程，推进网上信息发布审核工作的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科学化、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制度化和规范化管理，确保政务信息的严肃性、及时性、准确性，根据《中华人民共和国保守国家秘密法》和《中华人民共和国政府信息公开条例》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并结合我局实际，特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制定本制度。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长治市上党区财政局在区政府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网站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上的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信息上传和发布工作，要本着“涉密信息不上网，上网信息不涉密”的原则，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局相关股室信息起草和发布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应按照“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三审三校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度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的要求，严禁出现错字、漏字或者不规范的词语，特别是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b w:val="0"/>
          <w:bCs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地域名称表述错误，领导姓名错误等信息，确保信息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发布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的安全性、真实性和准确性。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/>
        <w:jc w:val="both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第二条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安全审查应依照《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中华人民共和国保守国家秘密</w:t>
      </w:r>
      <w:bookmarkStart w:id="0" w:name="_GoBack"/>
      <w:bookmarkEnd w:id="0"/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法》和《中华人民共和国政府信息公开条例》的相关规范进行，不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b w:val="0"/>
          <w:bCs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得随意改变信息公开范围，也不得随意降低信息安全标准。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/>
        <w:jc w:val="both"/>
        <w:textAlignment w:val="auto"/>
        <w:rPr>
          <w:b w:val="0"/>
          <w:bCs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第三条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局属各相关股室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要充分认识网络宣传保密工作的重要性和必要性，把此项工作摆上重要议事日程，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由股室负责人统一负责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，并指定一名素质高、业务精、责任心强的工作人员负责信息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起草和报送，并由局专门人员进行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上传工作。信息必须由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股室负责人、主管领导、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分管领导审核签发后才能上传至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长治市上党区人民政府网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/>
        <w:jc w:val="both"/>
        <w:textAlignment w:val="auto"/>
        <w:rPr>
          <w:b w:val="0"/>
          <w:bCs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第四条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信息按重要程度分为一般信息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重要信息。一般信息包括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我局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及其各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股室、中心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日常工作，即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各业务股室日常工作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动态；重要信息包括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我局召开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重要会议，主要领导重要活动等信息，即政务信息。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/>
        <w:jc w:val="both"/>
        <w:textAlignment w:val="auto"/>
        <w:rPr>
          <w:b w:val="0"/>
          <w:bCs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第五条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长治市上党区财政局在区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人民政府网站信息上传实行“三审三校”制度。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初审。撰稿股室拟稿人和负责人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负责一级自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审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自校。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主要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把好稿件的语言文字关，避免出现错字、病句等低级错误，确保稿件文字流畅，结构合理，稿件主题观点明确，表达意思完整。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复审。主管领导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负责二级初审和校对。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主要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把好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信息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事实关，对稿件的发布依据、公文规范、发布价值进行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全面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审核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校对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，同时注意对字、词、句审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核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终审。分管领导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负责三级审核和校对。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把好政治导向关，对稿件的政治导向、社会效应以及是否符合相关政策法规作出判断，并决定是否上网发布。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终审通过后，由编辑人员按规定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报办公室，由办公室负责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进行信息发布。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b w:val="0"/>
          <w:bCs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当遇到重要信息或者敏感信息不能作出准确的判断时，必须向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区政府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保密部门或网信部门报告和请示后方能签发。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b w:val="0"/>
          <w:bCs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长治市上党区财政局在区政府网上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信息发布人员必须严格落实上网信息“三审三校”制度，所有上网信息必须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填写长治市上党区财政局政务信息公开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发布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审核表，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没有信息发布审查表的信息一律不得发布。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/>
        <w:textAlignment w:val="auto"/>
        <w:rPr>
          <w:b w:val="0"/>
          <w:bCs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第六条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涉密信息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以及单位内部文件和资料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不得上传至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长治市上党区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人民政府网站。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/>
        <w:textAlignment w:val="auto"/>
        <w:rPr>
          <w:b w:val="0"/>
          <w:bCs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第七条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对不按保密规定审核或保密审核不严，导致泄密的，依法追究相关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人员责任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第八条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本制度自印发之日起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施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行，由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长治市上党区财政局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负责解释。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F2799"/>
    <w:multiLevelType w:val="singleLevel"/>
    <w:tmpl w:val="839F2799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NGJmZTAzNjVkNzhmYmVkYWFlZTNhMWY5ZmJmZjQifQ=="/>
  </w:docVars>
  <w:rsids>
    <w:rsidRoot w:val="00000000"/>
    <w:rsid w:val="07A57F5A"/>
    <w:rsid w:val="07A71FF1"/>
    <w:rsid w:val="080B6BB6"/>
    <w:rsid w:val="0C1E1B3B"/>
    <w:rsid w:val="1A7E373C"/>
    <w:rsid w:val="3C6503C1"/>
    <w:rsid w:val="4AC13FA2"/>
    <w:rsid w:val="51EA6615"/>
    <w:rsid w:val="5EFA2570"/>
    <w:rsid w:val="67753D6E"/>
    <w:rsid w:val="72A7400A"/>
    <w:rsid w:val="741F62C5"/>
    <w:rsid w:val="7ABA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1154</Words>
  <Characters>1161</Characters>
  <Lines>0</Lines>
  <Paragraphs>0</Paragraphs>
  <TotalTime>13</TotalTime>
  <ScaleCrop>false</ScaleCrop>
  <LinksUpToDate>false</LinksUpToDate>
  <CharactersWithSpaces>1200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2021-08-18T09:13:00Z</dcterms:created>
  <dc:creator>Administrator</dc:creator>
  <cp:lastModifiedBy>哥丶看破繁华</cp:lastModifiedBy>
  <cp:lastPrinted>2021-09-10T02:12:00Z</cp:lastPrinted>
  <dcterms:modified xsi:type="dcterms:W3CDTF">2023-05-23T09:09:11Z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A2F8484E532A4CF9B37E20D28FA785C0_12</vt:lpwstr>
  </property>
</Properties>
</file>