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公平竞争审查基本流程</w:t>
      </w: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lang w:val="en-US" w:eastAsia="zh-CN"/>
        </w:rPr>
        <w:pict>
          <v:shape id="_x0000_s1027" o:spid="_x0000_s1027" o:spt="4" type="#_x0000_t4" style="position:absolute;left:0pt;margin-left:5.25pt;margin-top:28.8pt;height:74.25pt;width:229.5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0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是否涉及市场</w:t>
                  </w:r>
                </w:p>
                <w:p>
                  <w:pPr>
                    <w:spacing w:line="30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主体经济活动</w:t>
                  </w:r>
                </w:p>
              </w:txbxContent>
            </v:textbox>
          </v:shape>
        </w:pict>
      </w: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lang w:val="en-US" w:eastAsia="zh-CN"/>
        </w:rPr>
        <w:pict>
          <v:roundrect id="_x0000_s1030" o:spid="_x0000_s1030" o:spt="2" style="position:absolute;left:0pt;margin-left:276.15pt;margin-top:4.35pt;height:60.75pt;width:139.85pt;z-index:251664384;v-text-anchor:middle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不需要公平竞争审查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（说明理由，审核人签字）</w:t>
                  </w:r>
                </w:p>
              </w:txbxContent>
            </v:textbox>
          </v:roundrect>
        </w:pict>
      </w:r>
      <w:r>
        <w:rPr>
          <w:lang w:val="en-US" w:eastAsia="zh-CN"/>
        </w:rPr>
        <w:pict>
          <v:shape id="テキスト ボックス 9" o:spid="_x0000_s1031" o:spt="202" type="#_x0000_t202" style="position:absolute;left:0pt;margin-left:238.5pt;margin-top:11.85pt;height:24.45pt;width:31.9pt;z-index:251665408;mso-width-relative:page;mso-height-relative:page;" filled="f" stroked="f" coordsize="21600,21600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  <w:color w:val="000000"/>
                    </w:rPr>
                  </w:pPr>
                  <w:r>
                    <w:rPr>
                      <w:rFonts w:hint="eastAsia" w:ascii="黑体" w:hAnsi="黑体" w:eastAsia="黑体"/>
                      <w:color w:val="000000"/>
                    </w:rPr>
                    <w:t>否</w:t>
                  </w:r>
                </w:p>
              </w:txbxContent>
            </v:textbox>
          </v:shape>
        </w:pict>
      </w: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lang w:val="en-US" w:eastAsia="zh-CN"/>
        </w:rPr>
        <w:pict>
          <v:shape id="_x0000_s1028" o:spid="_x0000_s1028" o:spt="32" type="#_x0000_t32" style="position:absolute;left:0pt;margin-left:234.75pt;margin-top:3.15pt;height:0.75pt;width:41.25pt;z-index:2516623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lang w:val="en-US" w:eastAsia="zh-CN"/>
        </w:rPr>
        <w:pict>
          <v:shape id="_x0000_s1032" o:spid="_x0000_s1032" o:spt="202" type="#_x0000_t202" style="position:absolute;left:0pt;margin-left:92.6pt;margin-top:7.95pt;height:24.4pt;width:31.9pt;z-index:251666432;mso-width-relative:page;mso-height-relative:page;" filled="f" stroked="f" coordsize="21600,21600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pStyle w:val="2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rFonts w:hint="eastAsia" w:ascii="黑体" w:hAnsi="黑体" w:eastAsia="黑体" w:cs="Times New Roman"/>
                      <w:color w:val="000000"/>
                      <w:kern w:val="2"/>
                      <w:sz w:val="21"/>
                      <w:szCs w:val="21"/>
                      <w:lang w:eastAsia="zh-CN"/>
                    </w:rPr>
                    <w:t>是</w:t>
                  </w:r>
                </w:p>
              </w:txbxContent>
            </v:textbox>
          </v:shape>
        </w:pict>
      </w:r>
      <w:r>
        <w:rPr>
          <w:lang w:val="en-US" w:eastAsia="zh-CN"/>
        </w:rPr>
        <w:pict>
          <v:shape id="_x0000_s1029" o:spid="_x0000_s1029" o:spt="32" type="#_x0000_t32" style="position:absolute;left:0pt;margin-left:120pt;margin-top:10.2pt;height:19.5pt;width:0.05pt;z-index:2516633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lang w:val="en-US" w:eastAsia="zh-CN"/>
        </w:rPr>
        <w:pict>
          <v:rect id="_x0000_s1026" o:spid="_x0000_s1026" o:spt="1" style="position:absolute;left:0pt;margin-left:0.75pt;margin-top:29.55pt;height:200.25pt;width:237.75pt;z-index:25166028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lang w:val="en-US" w:eastAsia="zh-CN"/>
        </w:rPr>
        <w:pict>
          <v:shape id="_x0000_s1033" o:spid="_x0000_s1033" o:spt="4" type="#_x0000_t4" style="position:absolute;left:0pt;margin-left:5.4pt;margin-top:-0.15pt;height:74.25pt;width:229.5pt;z-index:251667456;v-text-anchor:middle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0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对市场公平竞争</w:t>
                  </w:r>
                </w:p>
                <w:p>
                  <w:pPr>
                    <w:spacing w:line="30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的影响评估</w:t>
                  </w:r>
                </w:p>
              </w:txbxContent>
            </v:textbox>
          </v:shape>
        </w:pict>
      </w: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lang w:val="en-US" w:eastAsia="zh-CN"/>
        </w:rPr>
        <w:pict>
          <v:roundrect id="_x0000_s1041" o:spid="_x0000_s1041" o:spt="2" style="position:absolute;left:0pt;margin-left:322.5pt;margin-top:18.45pt;height:39pt;width:107.25pt;z-index:251675648;v-text-anchor:middle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可以出台实施</w:t>
                  </w:r>
                </w:p>
              </w:txbxContent>
            </v:textbox>
          </v:roundrect>
        </w:pict>
      </w:r>
      <w:r>
        <w:rPr>
          <w:lang w:val="en-US" w:eastAsia="zh-CN"/>
        </w:rPr>
        <w:pict>
          <v:shape id="_x0000_s1040" o:spid="_x0000_s1040" o:spt="202" type="#_x0000_t202" style="position:absolute;left:0pt;margin-left:245.5pt;margin-top:2.75pt;height:56.95pt;width:70.25pt;z-index:251674624;mso-width-relative:page;mso-height-relative:page;" filled="f" stroked="f" coordsize="21600,21600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pStyle w:val="2"/>
                    <w:snapToGrid w:val="0"/>
                    <w:spacing w:before="0" w:beforeAutospacing="0" w:after="0" w:afterAutospacing="0"/>
                    <w:rPr>
                      <w:rFonts w:hAnsi="黑体" w:eastAsia="宋体" w:cs="Times New Roman"/>
                      <w:color w:val="00000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hAnsi="黑体" w:eastAsia="宋体" w:cs="Times New Roman"/>
                      <w:color w:val="000000"/>
                      <w:sz w:val="21"/>
                      <w:szCs w:val="21"/>
                      <w:lang w:eastAsia="zh-CN"/>
                    </w:rPr>
                    <w:t>不违反任何一项标准</w:t>
                  </w:r>
                </w:p>
              </w:txbxContent>
            </v:textbox>
          </v:shape>
        </w:pict>
      </w:r>
      <w:r>
        <w:rPr>
          <w:lang w:val="en-US" w:eastAsia="zh-CN"/>
        </w:rPr>
        <w:pict>
          <v:rect id="_x0000_s1034" o:spid="_x0000_s1034" o:spt="1" style="position:absolute;left:0pt;margin-left:15.75pt;margin-top:11.7pt;height:25.5pt;width:212.25pt;z-index:2516684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840" w:firstLineChars="40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①市场准入与退出标准</w:t>
                  </w:r>
                </w:p>
              </w:txbxContent>
            </v:textbox>
          </v:rect>
        </w:pict>
      </w: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lang w:val="en-US" w:eastAsia="zh-CN"/>
        </w:rPr>
        <w:pict>
          <v:shape id="_x0000_s1039" o:spid="_x0000_s1039" o:spt="32" type="#_x0000_t32" style="position:absolute;left:0pt;margin-left:238.5pt;margin-top:6pt;height:0pt;width:84pt;z-index:25167360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lang w:val="en-US" w:eastAsia="zh-CN"/>
        </w:rPr>
        <w:pict>
          <v:rect id="_x0000_s1035" o:spid="_x0000_s1035" o:spt="1" style="position:absolute;left:0pt;margin-left:15.75pt;margin-top:10.5pt;height:25.5pt;width:212.25pt;z-index:25166950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②商品要素自由流通标准</w:t>
                  </w:r>
                </w:p>
              </w:txbxContent>
            </v:textbox>
          </v:rect>
        </w:pict>
      </w: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lang w:val="en-US" w:eastAsia="zh-CN"/>
        </w:rPr>
        <w:pict>
          <v:rect id="_x0000_s1036" o:spid="_x0000_s1036" o:spt="1" style="position:absolute;left:0pt;margin-left:15.75pt;margin-top:9.3pt;height:25.5pt;width:212.25pt;z-index:25167052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③影响生产经营成本标准</w:t>
                  </w:r>
                </w:p>
              </w:txbxContent>
            </v:textbox>
          </v:rect>
        </w:pict>
      </w: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lang w:val="en-US" w:eastAsia="zh-CN"/>
        </w:rPr>
        <w:pict>
          <v:rect id="_x0000_s1037" o:spid="_x0000_s1037" o:spt="1" style="position:absolute;left:0pt;margin-left:15.75pt;margin-top:8.1pt;height:25.5pt;width:212.25pt;z-index:2516715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④影响生产经营行为标准</w:t>
                  </w:r>
                </w:p>
              </w:txbxContent>
            </v:textbox>
          </v:rect>
        </w:pict>
      </w: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lang w:val="en-US" w:eastAsia="zh-CN"/>
        </w:rPr>
        <w:pict>
          <v:shape id="_x0000_s1042" o:spid="_x0000_s1042" o:spt="202" type="#_x0000_t202" style="position:absolute;left:0pt;margin-left:59.35pt;margin-top:19.65pt;height:56.95pt;width:70.25pt;z-index:251676672;mso-width-relative:page;mso-height-relative:page;" filled="f" stroked="f" coordsize="21600,21600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pStyle w:val="2"/>
                    <w:snapToGrid w:val="0"/>
                    <w:spacing w:before="0" w:beforeAutospacing="0" w:after="0" w:afterAutospacing="0"/>
                    <w:rPr>
                      <w:rFonts w:hAnsi="黑体" w:eastAsia="宋体" w:cs="Times New Roman"/>
                      <w:color w:val="00000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hAnsi="黑体" w:eastAsia="宋体" w:cs="Times New Roman"/>
                      <w:color w:val="000000"/>
                      <w:sz w:val="21"/>
                      <w:szCs w:val="21"/>
                      <w:lang w:eastAsia="zh-CN"/>
                    </w:rPr>
                    <w:t>违反任何</w:t>
                  </w:r>
                </w:p>
                <w:p>
                  <w:pPr>
                    <w:pStyle w:val="2"/>
                    <w:snapToGrid w:val="0"/>
                    <w:spacing w:before="0" w:beforeAutospacing="0" w:after="0" w:afterAutospacing="0"/>
                    <w:rPr>
                      <w:rFonts w:hAnsi="黑体" w:eastAsia="宋体" w:cs="Times New Roman"/>
                      <w:color w:val="00000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hAnsi="黑体" w:eastAsia="宋体" w:cs="Times New Roman"/>
                      <w:color w:val="000000"/>
                      <w:sz w:val="21"/>
                      <w:szCs w:val="21"/>
                      <w:lang w:eastAsia="zh-CN"/>
                    </w:rPr>
                    <w:t>一项标准</w:t>
                  </w:r>
                </w:p>
              </w:txbxContent>
            </v:textbox>
          </v:shape>
        </w:pict>
      </w:r>
      <w:r>
        <w:rPr>
          <w:lang w:val="en-US" w:eastAsia="zh-CN"/>
        </w:rPr>
        <w:pict>
          <v:shape id="_x0000_s1038" o:spid="_x0000_s1038" o:spt="32" type="#_x0000_t32" style="position:absolute;left:0pt;margin-left:120pt;margin-top:11.4pt;height:43.5pt;width:0.05pt;z-index:25167257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lang w:val="en-US" w:eastAsia="zh-CN"/>
        </w:rPr>
        <w:pict>
          <v:roundrect id="_x0000_s1043" o:spid="_x0000_s1043" o:spt="2" style="position:absolute;left:0pt;margin-left:15pt;margin-top:23.7pt;height:39.75pt;width:210.75pt;z-index:251677696;v-text-anchor:middle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00" w:lineRule="exact"/>
                    <w:jc w:val="center"/>
                  </w:pPr>
                  <w:r>
                    <w:rPr>
                      <w:rFonts w:hint="eastAsia"/>
                    </w:rPr>
                    <w:t>详细说明违反哪一项标准</w:t>
                  </w:r>
                </w:p>
                <w:p>
                  <w:pPr>
                    <w:spacing w:line="300" w:lineRule="exact"/>
                    <w:jc w:val="center"/>
                  </w:pPr>
                  <w:r>
                    <w:rPr>
                      <w:rFonts w:hint="eastAsia"/>
                    </w:rPr>
                    <w:t>对市场竞争产生什么影响</w:t>
                  </w:r>
                </w:p>
              </w:txbxContent>
            </v:textbox>
          </v:roundrect>
        </w:pict>
      </w: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lang w:val="en-US" w:eastAsia="zh-CN"/>
        </w:rPr>
        <w:pict>
          <v:shape id="_x0000_s1045" o:spid="_x0000_s1045" o:spt="4" type="#_x0000_t4" style="position:absolute;left:0pt;margin-left:5.4pt;margin-top:22.05pt;height:74.25pt;width:229.5pt;z-index:251679744;v-text-anchor:middle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是否符合例外规定</w:t>
                  </w:r>
                </w:p>
              </w:txbxContent>
            </v:textbox>
          </v:shape>
        </w:pict>
      </w:r>
      <w:r>
        <w:rPr>
          <w:lang w:val="en-US" w:eastAsia="zh-CN"/>
        </w:rPr>
        <w:pict>
          <v:shape id="_x0000_s1044" o:spid="_x0000_s1044" o:spt="32" type="#_x0000_t32" style="position:absolute;left:0pt;margin-left:119.95pt;margin-top:1.05pt;height:21.75pt;width:0.05pt;z-index:25167872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tabs>
          <w:tab w:val="left" w:pos="5220"/>
          <w:tab w:val="left" w:pos="6270"/>
        </w:tabs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lang w:val="en-US" w:eastAsia="zh-CN"/>
        </w:rPr>
        <w:pict>
          <v:shape id="_x0000_s1047" o:spid="_x0000_s1047" o:spt="202" type="#_x0000_t202" style="position:absolute;left:0pt;margin-left:242.5pt;margin-top:4.65pt;height:24.45pt;width:31.9pt;z-index:251681792;mso-width-relative:page;mso-height-relative:page;" filled="f" stroked="f" coordsize="21600,21600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  <w:color w:val="000000"/>
                    </w:rPr>
                  </w:pPr>
                  <w:r>
                    <w:rPr>
                      <w:rFonts w:hint="eastAsia" w:ascii="黑体" w:hAnsi="黑体" w:eastAsia="黑体"/>
                      <w:color w:val="000000"/>
                    </w:rPr>
                    <w:t>否</w:t>
                  </w:r>
                </w:p>
              </w:txbxContent>
            </v:textbox>
          </v:shape>
        </w:pict>
      </w:r>
      <w:r>
        <w:rPr>
          <w:lang w:val="en-US" w:eastAsia="zh-CN"/>
        </w:rPr>
        <w:pict>
          <v:roundrect id="_x0000_s1048" o:spid="_x0000_s1048" o:spt="2" style="position:absolute;left:0pt;margin-left:281.25pt;margin-top:8.85pt;height:39pt;width:152.25pt;z-index:251682816;v-text-anchor:middle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00" w:lineRule="exact"/>
                    <w:jc w:val="center"/>
                  </w:pPr>
                  <w:r>
                    <w:rPr>
                      <w:rFonts w:hint="eastAsia"/>
                    </w:rPr>
                    <w:t>不得出台或者调整至符合要求后再出台</w:t>
                  </w:r>
                </w:p>
              </w:txbxContent>
            </v:textbox>
          </v:roundrect>
        </w:pict>
      </w:r>
      <w:r>
        <w:rPr>
          <w:lang w:val="en-US" w:eastAsia="zh-CN"/>
        </w:rPr>
        <w:pict>
          <v:shape id="_x0000_s1046" o:spid="_x0000_s1046" o:spt="32" type="#_x0000_t32" style="position:absolute;left:0pt;margin-left:235.5pt;margin-top:27.6pt;height:0pt;width:46.4pt;z-index:25168076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ascii="仿宋_GB2312" w:hAnsi="仿宋" w:eastAsia="仿宋_GB2312"/>
          <w:sz w:val="32"/>
          <w:szCs w:val="32"/>
        </w:rPr>
        <w:tab/>
      </w: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lang w:val="en-US" w:eastAsia="zh-CN"/>
        </w:rPr>
        <w:pict>
          <v:roundrect id="_x0000_s1051" o:spid="_x0000_s1051" o:spt="2" style="position:absolute;left:0pt;margin-left:14.25pt;margin-top:24.45pt;height:42.75pt;width:211.5pt;z-index:25168588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00" w:lineRule="exact"/>
                  </w:pPr>
                  <w:r>
                    <w:rPr>
                      <w:rFonts w:hint="eastAsia"/>
                    </w:rPr>
                    <w:t>可以出台，但充分说明符合例外规定的条件，并明确实施期限</w:t>
                  </w:r>
                </w:p>
              </w:txbxContent>
            </v:textbox>
          </v:roundrect>
        </w:pict>
      </w:r>
      <w:r>
        <w:rPr>
          <w:lang w:val="en-US" w:eastAsia="zh-CN"/>
        </w:rPr>
        <w:pict>
          <v:shape id="_x0000_s1050" o:spid="_x0000_s1050" o:spt="202" type="#_x0000_t202" style="position:absolute;left:0pt;margin-left:88pt;margin-top:2.7pt;height:24.4pt;width:31.9pt;z-index:251684864;mso-width-relative:page;mso-height-relative:page;" filled="f" stroked="f" coordsize="21600,21600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pStyle w:val="2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rFonts w:hint="eastAsia" w:ascii="黑体" w:hAnsi="黑体" w:eastAsia="黑体" w:cs="Times New Roman"/>
                      <w:color w:val="000000"/>
                      <w:kern w:val="2"/>
                      <w:sz w:val="21"/>
                      <w:szCs w:val="21"/>
                      <w:lang w:eastAsia="zh-CN"/>
                    </w:rPr>
                    <w:t>是</w:t>
                  </w:r>
                </w:p>
              </w:txbxContent>
            </v:textbox>
          </v:shape>
        </w:pict>
      </w:r>
      <w:r>
        <w:rPr>
          <w:lang w:val="en-US" w:eastAsia="zh-CN"/>
        </w:rPr>
        <w:pict>
          <v:shape id="_x0000_s1049" o:spid="_x0000_s1049" o:spt="32" type="#_x0000_t32" style="position:absolute;left:0pt;margin-left:119.9pt;margin-top:2.7pt;height:21.75pt;width:0.05pt;z-index:25168384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S PGothic">
    <w:panose1 w:val="020B0600070205080204"/>
    <w:charset w:val="80"/>
    <w:family w:val="swiss"/>
    <w:pitch w:val="default"/>
    <w:sig w:usb0="A00002BF" w:usb1="68C7FCFB" w:usb2="00000010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1DC1"/>
    <w:rsid w:val="000454D0"/>
    <w:rsid w:val="00421DC1"/>
    <w:rsid w:val="00566424"/>
    <w:rsid w:val="0784236B"/>
    <w:rsid w:val="18AD4211"/>
    <w:rsid w:val="25751EE8"/>
    <w:rsid w:val="39436074"/>
    <w:rsid w:val="41845274"/>
    <w:rsid w:val="49872724"/>
    <w:rsid w:val="4E8D2B9A"/>
    <w:rsid w:val="518A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8"/>
        <o:r id="V:Rule4" type="connector" idref="#_x0000_s1039"/>
        <o:r id="V:Rule5" type="connector" idref="#_x0000_s1044"/>
        <o:r id="V:Rule6" type="connector" idref="#_x0000_s1046"/>
        <o:r id="V:Rule7" type="connector" idref="#_x0000_s104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szCs w:val="24"/>
      <w:lang w:eastAsia="ja-JP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30"/>
    <customShpInfo spid="_x0000_s1031"/>
    <customShpInfo spid="_x0000_s1028"/>
    <customShpInfo spid="_x0000_s1032"/>
    <customShpInfo spid="_x0000_s1029"/>
    <customShpInfo spid="_x0000_s1026"/>
    <customShpInfo spid="_x0000_s1033"/>
    <customShpInfo spid="_x0000_s1041"/>
    <customShpInfo spid="_x0000_s1040"/>
    <customShpInfo spid="_x0000_s1034"/>
    <customShpInfo spid="_x0000_s1039"/>
    <customShpInfo spid="_x0000_s1035"/>
    <customShpInfo spid="_x0000_s1036"/>
    <customShpInfo spid="_x0000_s1037"/>
    <customShpInfo spid="_x0000_s1042"/>
    <customShpInfo spid="_x0000_s1038"/>
    <customShpInfo spid="_x0000_s1043"/>
    <customShpInfo spid="_x0000_s1045"/>
    <customShpInfo spid="_x0000_s1044"/>
    <customShpInfo spid="_x0000_s1047"/>
    <customShpInfo spid="_x0000_s1048"/>
    <customShpInfo spid="_x0000_s1046"/>
    <customShpInfo spid="_x0000_s1051"/>
    <customShpInfo spid="_x0000_s1050"/>
    <customShpInfo spid="_x0000_s1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9</Words>
  <Characters>54</Characters>
  <Lines>1</Lines>
  <Paragraphs>1</Paragraphs>
  <TotalTime>9</TotalTime>
  <ScaleCrop>false</ScaleCrop>
  <LinksUpToDate>false</LinksUpToDate>
  <CharactersWithSpaces>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2019-10-22T07:15:00Z</dcterms:created>
  <dc:creator>Administrator</dc:creator>
  <cp:lastModifiedBy>郝。</cp:lastModifiedBy>
  <cp:lastPrinted>2019-11-01T00:27:00Z</cp:lastPrinted>
  <dcterms:modified xsi:type="dcterms:W3CDTF">2021-11-26T01:33:30Z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