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3A2DD">
      <w:pPr>
        <w:widowControl/>
        <w:spacing w:line="6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1" w:name="_GoBack"/>
      <w:bookmarkEnd w:id="1"/>
    </w:p>
    <w:p w14:paraId="6844AFE1">
      <w:pPr>
        <w:widowControl/>
        <w:spacing w:line="6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OLE_LINK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上党区主城区污水处理厂扩容搬迁工程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</w:t>
      </w:r>
    </w:p>
    <w:p w14:paraId="1BCCE9B7">
      <w:pPr>
        <w:widowControl/>
        <w:spacing w:line="6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规划设计方案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的批前公示</w:t>
      </w:r>
      <w:bookmarkEnd w:id="0"/>
    </w:p>
    <w:p w14:paraId="76AA8A70">
      <w:pPr>
        <w:widowControl/>
        <w:spacing w:line="6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一、项目名称：上党区主城区污水处理厂扩容搬迁工程项目</w:t>
      </w:r>
    </w:p>
    <w:p w14:paraId="14A76174">
      <w:pPr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二、公示时间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22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日-202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  <w:lang w:val="en-US" w:eastAsia="zh-CN"/>
        </w:rPr>
        <w:t xml:space="preserve">29 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shd w:val="clear" w:color="auto" w:fill="auto"/>
        </w:rPr>
        <w:t>日</w:t>
      </w:r>
    </w:p>
    <w:p w14:paraId="280F31CB">
      <w:pPr>
        <w:rPr>
          <w:rFonts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三、公示期间我局将有工作人员受理咨询，请广大市民在公示期间提出合理的意见和建议。 </w:t>
      </w:r>
    </w:p>
    <w:p w14:paraId="753C66D3">
      <w:pPr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四、联系电话：0355-8089356 </w:t>
      </w:r>
    </w:p>
    <w:p w14:paraId="1ADE3499">
      <w:pPr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特此公告</w:t>
      </w:r>
    </w:p>
    <w:p w14:paraId="3802885F">
      <w:pPr>
        <w:rPr>
          <w:rFonts w:ascii="仿宋" w:hAnsi="仿宋" w:eastAsia="仿宋" w:cs="仿宋"/>
          <w:color w:val="auto"/>
          <w:sz w:val="32"/>
          <w:szCs w:val="32"/>
        </w:rPr>
      </w:pPr>
    </w:p>
    <w:p w14:paraId="46B079F1">
      <w:pPr>
        <w:rPr>
          <w:rFonts w:ascii="仿宋" w:hAnsi="仿宋" w:eastAsia="仿宋" w:cs="仿宋"/>
          <w:sz w:val="32"/>
          <w:szCs w:val="32"/>
        </w:rPr>
      </w:pPr>
    </w:p>
    <w:p w14:paraId="2636E940">
      <w:pPr>
        <w:pStyle w:val="4"/>
      </w:pPr>
    </w:p>
    <w:p w14:paraId="050643B6">
      <w:pPr>
        <w:rPr>
          <w:rFonts w:ascii="仿宋" w:hAnsi="仿宋" w:eastAsia="仿宋" w:cs="仿宋"/>
          <w:sz w:val="32"/>
          <w:szCs w:val="32"/>
        </w:rPr>
      </w:pPr>
    </w:p>
    <w:p w14:paraId="380C2B9B">
      <w:pPr>
        <w:rPr>
          <w:rFonts w:ascii="仿宋" w:hAnsi="仿宋" w:eastAsia="仿宋" w:cs="仿宋"/>
          <w:sz w:val="32"/>
          <w:szCs w:val="32"/>
        </w:rPr>
      </w:pPr>
    </w:p>
    <w:p w14:paraId="3822BA29">
      <w:pPr>
        <w:rPr>
          <w:sz w:val="44"/>
          <w:szCs w:val="44"/>
        </w:rPr>
      </w:pPr>
    </w:p>
    <w:p w14:paraId="67DA339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区位：</w:t>
      </w:r>
    </w:p>
    <w:p w14:paraId="2952E2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上党区主城区污水处理厂扩容搬迁工程项目位于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上党区长韩线与二广高速交口西南角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17367A2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项目概况：</w:t>
      </w:r>
    </w:p>
    <w:p w14:paraId="22FBCA84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项目规划总用地面积49389.60平方米（约合74.08亩）。</w:t>
      </w:r>
    </w:p>
    <w:p w14:paraId="3395A2C3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主要建设内容为综合楼，高效沉淀池（磁混凝）车间，高效纤维滤料滤池车间，紫外消毒间、接触消毒池、巴氏计量渠及消防泵房，加氯加药间、机修仓库及换热站，鼓风机房及变配电间，污泥浓缩及脱水机房，细格栅、曝气沉砂池及车间，粗格栅及提升泵房，二沉池、中间提升池、尾水提升池、污泥回流及剩余污泥池、调节池及Bardenpho生物池、二沉池及污泥回流池（远期）、生物池（远期）以及室外工程（给排水、道路、场地硬化、照明、绿化、围墙、大门等）和设施设备等。</w:t>
      </w:r>
    </w:p>
    <w:p w14:paraId="00E89A04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" w:cs="Times New Roman"/>
          <w:kern w:val="2"/>
          <w:sz w:val="32"/>
          <w:szCs w:val="32"/>
          <w:lang w:val="en-US" w:eastAsia="zh-CN" w:bidi="ar-SA"/>
        </w:rPr>
        <w:t>本项目拟建地上总建筑面积为6404.49平方米，其中综合楼建筑面积2125.7平方米，高效沉淀池（磁混凝）车间438.25平方米，高效纤维滤料滤池车间551.93平方米，紫外消毒间、接触消毒池、巴氏计量渠及消防泵房214.96平方米，加氯加药间、机修仓库及换热站426.58平方米，鼓风机房及变配电间636.07平方米，污泥浓缩及脱水机房1129.28平方米，细格栅、曝气沉砂池及车间522.25平方米，粗格栅及提升泵房329.17平方米，门卫室30.3平方米。</w:t>
      </w:r>
    </w:p>
    <w:p w14:paraId="5E17B79F">
      <w:pPr>
        <w:numPr>
          <w:ilvl w:val="0"/>
          <w:numId w:val="1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规划平面图及效果图：</w:t>
      </w:r>
    </w:p>
    <w:p w14:paraId="33BBAEA4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877935" cy="6280150"/>
            <wp:effectExtent l="0" t="0" r="18415" b="6350"/>
            <wp:docPr id="6" name="图片 6" descr="2f1d02ec8c2258849259c7d7747f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1d02ec8c2258849259c7d7747fa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E464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6AECEC4B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主要经济技术指标表（近期）</w:t>
      </w:r>
    </w:p>
    <w:tbl>
      <w:tblPr>
        <w:tblStyle w:val="2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003"/>
        <w:gridCol w:w="2357"/>
        <w:gridCol w:w="1003"/>
        <w:gridCol w:w="1509"/>
        <w:gridCol w:w="2360"/>
      </w:tblGrid>
      <w:tr w14:paraId="595B7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395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73EB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811F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2568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1878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1FF26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3DFAF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051D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用地面积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8878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AD5D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7359.22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6FA9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约合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41.04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亩</w:t>
            </w:r>
          </w:p>
        </w:tc>
      </w:tr>
      <w:tr w14:paraId="44C83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32D07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9A04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7AA5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9AA6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6455.56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8D5568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3121F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421F6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38024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其中</w:t>
            </w: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18F5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地上建筑面积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608F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94B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6404.49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69A40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32FE70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7A74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DB1F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1574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地下建筑面积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BB02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30F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51.07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A85517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45BD3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D8400D9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32A6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  <w:t>计容建筑面积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29B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2320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15.41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2AFD84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6AB82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noWrap/>
            <w:vAlign w:val="center"/>
          </w:tcPr>
          <w:p w14:paraId="6F49D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CCF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建筑占地面积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6028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ADCF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4151.72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B398C5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6D8A21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E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A5E7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构筑物占地面积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10F8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7C3B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26.89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336347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636E9F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40D2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B2FB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容积率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1AF9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--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2D59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D91D3B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5B637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BBB1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409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建筑密度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B150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824B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15.2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1E62CD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7C1AF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DAC7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13C6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建筑系数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97B3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F0EE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38.3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07A0F8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16CE70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313D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4768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围墙长度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A39D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ABF4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970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96264E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下部挡土墙</w:t>
            </w:r>
          </w:p>
        </w:tc>
      </w:tr>
      <w:tr w14:paraId="4151A8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9647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8C03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道路广场面积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80B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D6CB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4610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44FFC54">
            <w:pPr>
              <w:jc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6BB15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F7E4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BBC9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绿地率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CF4F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DDE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3.44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9F6E05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0C82D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BD02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2C3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机动车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车位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数（预留充电条件）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2004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9210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B6D2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含预留充电车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3个</w:t>
            </w:r>
          </w:p>
        </w:tc>
      </w:tr>
    </w:tbl>
    <w:p w14:paraId="1C4055D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主要经济技术指标表（远期）</w:t>
      </w:r>
    </w:p>
    <w:tbl>
      <w:tblPr>
        <w:tblStyle w:val="2"/>
        <w:tblW w:w="4995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003"/>
        <w:gridCol w:w="2357"/>
        <w:gridCol w:w="1003"/>
        <w:gridCol w:w="1509"/>
        <w:gridCol w:w="2360"/>
      </w:tblGrid>
      <w:tr w14:paraId="1917D6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34E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B8CA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12E7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066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D120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04EA6E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25476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B3E7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用地面积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6BA9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CF28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9389.60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DD7F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约合7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4.08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亩</w:t>
            </w:r>
          </w:p>
        </w:tc>
      </w:tr>
      <w:tr w14:paraId="234E6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493D1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5652E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其中</w:t>
            </w: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88E5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近期用地面积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F512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2451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7359.22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D47F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1CAB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4F46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CCEA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C534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远期预留用地面积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3347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D7B0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22030.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E23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50A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7CB34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C315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总建筑面积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9AED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2109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6455.56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70BB76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3C84A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74487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/>
            <w:vAlign w:val="center"/>
          </w:tcPr>
          <w:p w14:paraId="60AEA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其中</w:t>
            </w: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6D2B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地上建筑面积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B602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6440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6404.49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5DF5E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32E67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224C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662C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5117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地下建筑面积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B147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BB06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51.07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5FEBB9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289EC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F47FDA5">
            <w:pPr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253D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  <w:t>计容建筑面积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4988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70E5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15.41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6C9DA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51347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noWrap/>
            <w:vAlign w:val="center"/>
          </w:tcPr>
          <w:p w14:paraId="6247F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591D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建筑占地面积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958B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54F9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4151.72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2D031ED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063DD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4DC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8F91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构筑物占地面积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4E31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5B6D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8780.21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C6B6B7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23B33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E2E5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01B7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容积率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A0E8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--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8B12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1487E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40075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876A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7174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建筑密度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5EB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5021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8.41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02D641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5DA78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963D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E270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建筑系数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639E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DED1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26.18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C31DD7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49B5C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6ECA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5D68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围墙长度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ED2F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25EC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970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2133FA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下部挡土墙</w:t>
            </w:r>
          </w:p>
        </w:tc>
      </w:tr>
      <w:tr w14:paraId="488F0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0F0B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EF6E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道路广场面积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71F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D3E6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4610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E195C92">
            <w:pPr>
              <w:jc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 w14:paraId="26EBE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F203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5B04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绿地率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EF95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%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61A9D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56.96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0FBACB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2E87BD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42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7B780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819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4101E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机动车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车位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数（预留充电条件）</w:t>
            </w:r>
          </w:p>
        </w:tc>
        <w:tc>
          <w:tcPr>
            <w:tcW w:w="5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151C2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81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5ACAE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277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/>
            <w:vAlign w:val="center"/>
          </w:tcPr>
          <w:p w14:paraId="3BA6A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含预留充电车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3个</w:t>
            </w:r>
          </w:p>
        </w:tc>
      </w:tr>
    </w:tbl>
    <w:p w14:paraId="494AE50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036614B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鸟瞰图：</w:t>
      </w:r>
    </w:p>
    <w:p w14:paraId="19B81A25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47080" cy="3549015"/>
            <wp:effectExtent l="0" t="0" r="1270" b="13335"/>
            <wp:docPr id="2" name="图片 2" descr="25-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-鸟瞰图"/>
                    <pic:cNvPicPr>
                      <a:picLocks noChangeAspect="1"/>
                    </pic:cNvPicPr>
                  </pic:nvPicPr>
                  <pic:blipFill>
                    <a:blip r:embed="rId5"/>
                    <a:srcRect l="3375" t="15478" r="4077" b="5117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06B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24ED28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综合楼单体透视图：</w:t>
      </w:r>
    </w:p>
    <w:p w14:paraId="2849FC1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802630" cy="3528060"/>
            <wp:effectExtent l="0" t="0" r="7620" b="15240"/>
            <wp:docPr id="5" name="图片 1" descr="26-综合楼单体透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6-综合楼单体透视图"/>
                    <pic:cNvPicPr>
                      <a:picLocks noChangeAspect="1"/>
                    </pic:cNvPicPr>
                  </pic:nvPicPr>
                  <pic:blipFill>
                    <a:blip r:embed="rId6"/>
                    <a:srcRect l="3575" t="15746" r="3876" b="4724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3282">
      <w:pPr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2540B65B-3FAD-473C-96BC-FB7500ECBDF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36BFA26-0FBA-4D7C-8ECC-2B2EBFA8EDC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2D93F0"/>
    <w:multiLevelType w:val="singleLevel"/>
    <w:tmpl w:val="392D93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YWYxOGZlODUwY2EzZTMzYTdiNzQ4NTBhZDY5NGEifQ=="/>
  </w:docVars>
  <w:rsids>
    <w:rsidRoot w:val="4FBC2536"/>
    <w:rsid w:val="00815D00"/>
    <w:rsid w:val="00952B96"/>
    <w:rsid w:val="0E0443AC"/>
    <w:rsid w:val="0EF412FE"/>
    <w:rsid w:val="11DB0E46"/>
    <w:rsid w:val="12184943"/>
    <w:rsid w:val="15AA63A9"/>
    <w:rsid w:val="2291451E"/>
    <w:rsid w:val="28CC797B"/>
    <w:rsid w:val="2A1B6F7E"/>
    <w:rsid w:val="2E4A2BDD"/>
    <w:rsid w:val="2EB63EAF"/>
    <w:rsid w:val="320306FD"/>
    <w:rsid w:val="332350B4"/>
    <w:rsid w:val="356A2E86"/>
    <w:rsid w:val="3B2C75A0"/>
    <w:rsid w:val="3C070A0C"/>
    <w:rsid w:val="3F5B39FD"/>
    <w:rsid w:val="3F9B0199"/>
    <w:rsid w:val="404A147C"/>
    <w:rsid w:val="43762F98"/>
    <w:rsid w:val="4A113742"/>
    <w:rsid w:val="4ADE4831"/>
    <w:rsid w:val="4AF22E11"/>
    <w:rsid w:val="4D5D25E6"/>
    <w:rsid w:val="4FBC2536"/>
    <w:rsid w:val="52B83749"/>
    <w:rsid w:val="55242E4B"/>
    <w:rsid w:val="55381ED8"/>
    <w:rsid w:val="55410DBD"/>
    <w:rsid w:val="5DA65EFA"/>
    <w:rsid w:val="5DC37CC3"/>
    <w:rsid w:val="5F6708A7"/>
    <w:rsid w:val="5FC6687A"/>
    <w:rsid w:val="5FF72320"/>
    <w:rsid w:val="6396724E"/>
    <w:rsid w:val="654F0FED"/>
    <w:rsid w:val="6A127BEA"/>
    <w:rsid w:val="6A341987"/>
    <w:rsid w:val="6A425452"/>
    <w:rsid w:val="6B9B2EA8"/>
    <w:rsid w:val="6DD86903"/>
    <w:rsid w:val="6E094833"/>
    <w:rsid w:val="75C15C1A"/>
    <w:rsid w:val="75D54ADF"/>
    <w:rsid w:val="77EC380F"/>
    <w:rsid w:val="7C28344E"/>
    <w:rsid w:val="7D424D1B"/>
    <w:rsid w:val="7FE4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 First Indent 2"/>
    <w:basedOn w:val="1"/>
    <w:next w:val="1"/>
    <w:autoRedefine/>
    <w:qFormat/>
    <w:uiPriority w:val="0"/>
    <w:pPr>
      <w:spacing w:line="360" w:lineRule="auto"/>
      <w:ind w:left="0" w:leftChars="0" w:firstLine="420" w:firstLineChars="200"/>
    </w:pPr>
    <w:rPr>
      <w:rFonts w:ascii="Times New Roman" w:hAnsi="Times New Roman" w:eastAsia="宋体"/>
      <w:spacing w:val="8"/>
    </w:rPr>
  </w:style>
  <w:style w:type="paragraph" w:customStyle="1" w:styleId="5">
    <w:name w:val="文章正文"/>
    <w:basedOn w:val="1"/>
    <w:qFormat/>
    <w:uiPriority w:val="0"/>
    <w:pPr>
      <w:spacing w:line="480" w:lineRule="auto"/>
      <w:ind w:firstLine="723" w:firstLineChars="200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947</Words>
  <Characters>1210</Characters>
  <Lines>0</Lines>
  <Paragraphs>0</Paragraphs>
  <TotalTime>64</TotalTime>
  <ScaleCrop>false</ScaleCrop>
  <LinksUpToDate>false</LinksUpToDate>
  <CharactersWithSpaces>1217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2023-12-20T08:30:00Z</dcterms:created>
  <dc:creator>D^C</dc:creator>
  <cp:lastModifiedBy>Administrator</cp:lastModifiedBy>
  <cp:lastPrinted>2024-08-22T02:05:12Z</cp:lastPrinted>
  <dcterms:modified xsi:type="dcterms:W3CDTF">2024-08-22T02:08:21Z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42700F75D3964FA09D82F3937AB7549E_13</vt:lpwstr>
  </property>
</Properties>
</file>