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ind w:firstLine="0" w:firstLineChars="0"/>
        <w:jc w:val="both"/>
        <w:rPr>
          <w:rFonts w:hint="eastAsia" w:ascii="宋体" w:hAnsi="宋体" w:eastAsia="宋体" w:cs="Times New Roman"/>
          <w:b/>
          <w:sz w:val="36"/>
          <w:szCs w:val="36"/>
        </w:rPr>
      </w:pPr>
    </w:p>
    <w:p>
      <w:p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一、规划</w:t>
      </w:r>
      <w:r>
        <w:rPr>
          <w:rFonts w:hint="eastAsia" w:ascii="仿宋" w:hAnsi="仿宋" w:eastAsia="仿宋" w:cs="仿宋"/>
          <w:sz w:val="32"/>
          <w:szCs w:val="32"/>
        </w:rPr>
        <w:t>名称：</w:t>
      </w:r>
      <w:r>
        <w:rPr>
          <w:rFonts w:hint="eastAsia" w:ascii="仿宋" w:hAnsi="仿宋" w:eastAsia="仿宋" w:cs="仿宋"/>
          <w:sz w:val="32"/>
          <w:szCs w:val="32"/>
          <w:lang w:eastAsia="zh-CN"/>
        </w:rPr>
        <w:t>长治市上党区绿道与慢行系统专项规划</w:t>
      </w:r>
    </w:p>
    <w:p>
      <w:p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（2021-2035年）</w:t>
      </w:r>
    </w:p>
    <w:p>
      <w:pPr>
        <w:rPr>
          <w:rFonts w:ascii="仿宋" w:hAnsi="仿宋" w:eastAsia="仿宋" w:cs="仿宋"/>
          <w:color w:val="auto"/>
          <w:sz w:val="32"/>
          <w:szCs w:val="32"/>
        </w:rPr>
      </w:pPr>
      <w:r>
        <w:rPr>
          <w:rFonts w:hint="eastAsia" w:ascii="仿宋" w:hAnsi="仿宋" w:eastAsia="仿宋" w:cs="仿宋"/>
          <w:sz w:val="32"/>
          <w:szCs w:val="32"/>
        </w:rPr>
        <w:t>二、公示时间</w:t>
      </w:r>
      <w:r>
        <w:rPr>
          <w:rFonts w:hint="eastAsia" w:ascii="仿宋" w:hAnsi="仿宋" w:eastAsia="仿宋" w:cs="仿宋"/>
          <w:color w:val="auto"/>
          <w:sz w:val="32"/>
          <w:szCs w:val="32"/>
        </w:rPr>
        <w:t>：</w:t>
      </w:r>
      <w:r>
        <w:rPr>
          <w:rFonts w:hint="eastAsia" w:ascii="仿宋" w:hAnsi="仿宋" w:eastAsia="仿宋" w:cs="仿宋"/>
          <w:color w:val="auto"/>
          <w:sz w:val="32"/>
          <w:szCs w:val="32"/>
          <w:shd w:val="clear" w:color="auto" w:fill="auto"/>
        </w:rPr>
        <w:t>202</w:t>
      </w:r>
      <w:r>
        <w:rPr>
          <w:rFonts w:hint="eastAsia" w:ascii="仿宋" w:hAnsi="仿宋" w:eastAsia="仿宋" w:cs="仿宋"/>
          <w:color w:val="auto"/>
          <w:sz w:val="32"/>
          <w:szCs w:val="32"/>
          <w:shd w:val="clear" w:color="auto" w:fill="auto"/>
          <w:lang w:val="en-US" w:eastAsia="zh-CN"/>
        </w:rPr>
        <w:t>4</w:t>
      </w:r>
      <w:r>
        <w:rPr>
          <w:rFonts w:hint="eastAsia" w:ascii="仿宋" w:hAnsi="仿宋" w:eastAsia="仿宋" w:cs="仿宋"/>
          <w:color w:val="auto"/>
          <w:sz w:val="32"/>
          <w:szCs w:val="32"/>
          <w:shd w:val="clear" w:color="auto" w:fill="auto"/>
        </w:rPr>
        <w:t>年</w:t>
      </w:r>
      <w:r>
        <w:rPr>
          <w:rFonts w:hint="eastAsia" w:ascii="仿宋" w:hAnsi="仿宋" w:eastAsia="仿宋" w:cs="仿宋"/>
          <w:color w:val="auto"/>
          <w:sz w:val="32"/>
          <w:szCs w:val="32"/>
          <w:shd w:val="clear" w:color="auto" w:fill="auto"/>
          <w:lang w:val="en-US" w:eastAsia="zh-CN"/>
        </w:rPr>
        <w:t>11</w:t>
      </w:r>
      <w:r>
        <w:rPr>
          <w:rFonts w:hint="eastAsia" w:ascii="仿宋" w:hAnsi="仿宋" w:eastAsia="仿宋" w:cs="仿宋"/>
          <w:color w:val="auto"/>
          <w:sz w:val="32"/>
          <w:szCs w:val="32"/>
          <w:shd w:val="clear" w:color="auto" w:fill="auto"/>
        </w:rPr>
        <w:t>月</w:t>
      </w:r>
      <w:r>
        <w:rPr>
          <w:rFonts w:hint="eastAsia" w:ascii="仿宋" w:hAnsi="仿宋" w:eastAsia="仿宋" w:cs="仿宋"/>
          <w:color w:val="auto"/>
          <w:sz w:val="32"/>
          <w:szCs w:val="32"/>
          <w:shd w:val="clear" w:color="auto" w:fill="auto"/>
          <w:lang w:val="en-US" w:eastAsia="zh-CN"/>
        </w:rPr>
        <w:t>14</w:t>
      </w:r>
      <w:r>
        <w:rPr>
          <w:rFonts w:hint="eastAsia" w:ascii="仿宋" w:hAnsi="仿宋" w:eastAsia="仿宋" w:cs="仿宋"/>
          <w:color w:val="auto"/>
          <w:sz w:val="32"/>
          <w:szCs w:val="32"/>
          <w:shd w:val="clear" w:color="auto" w:fill="auto"/>
        </w:rPr>
        <w:t>日-202</w:t>
      </w:r>
      <w:r>
        <w:rPr>
          <w:rFonts w:hint="eastAsia" w:ascii="仿宋" w:hAnsi="仿宋" w:eastAsia="仿宋" w:cs="仿宋"/>
          <w:color w:val="auto"/>
          <w:sz w:val="32"/>
          <w:szCs w:val="32"/>
          <w:shd w:val="clear" w:color="auto" w:fill="auto"/>
          <w:lang w:val="en-US" w:eastAsia="zh-CN"/>
        </w:rPr>
        <w:t>4</w:t>
      </w:r>
      <w:r>
        <w:rPr>
          <w:rFonts w:hint="eastAsia" w:ascii="仿宋" w:hAnsi="仿宋" w:eastAsia="仿宋" w:cs="仿宋"/>
          <w:color w:val="auto"/>
          <w:sz w:val="32"/>
          <w:szCs w:val="32"/>
          <w:shd w:val="clear" w:color="auto" w:fill="auto"/>
        </w:rPr>
        <w:t>年</w:t>
      </w:r>
      <w:r>
        <w:rPr>
          <w:rFonts w:hint="eastAsia" w:ascii="仿宋" w:hAnsi="仿宋" w:eastAsia="仿宋" w:cs="仿宋"/>
          <w:color w:val="auto"/>
          <w:sz w:val="32"/>
          <w:szCs w:val="32"/>
          <w:shd w:val="clear" w:color="auto" w:fill="auto"/>
          <w:lang w:val="en-US" w:eastAsia="zh-CN"/>
        </w:rPr>
        <w:t>12</w:t>
      </w:r>
      <w:r>
        <w:rPr>
          <w:rFonts w:hint="eastAsia" w:ascii="仿宋" w:hAnsi="仿宋" w:eastAsia="仿宋" w:cs="仿宋"/>
          <w:color w:val="auto"/>
          <w:sz w:val="32"/>
          <w:szCs w:val="32"/>
          <w:shd w:val="clear" w:color="auto" w:fill="auto"/>
        </w:rPr>
        <w:t>月</w:t>
      </w:r>
      <w:r>
        <w:rPr>
          <w:rFonts w:hint="eastAsia" w:ascii="仿宋" w:hAnsi="仿宋" w:eastAsia="仿宋" w:cs="仿宋"/>
          <w:color w:val="auto"/>
          <w:sz w:val="32"/>
          <w:szCs w:val="32"/>
          <w:shd w:val="clear" w:color="auto" w:fill="auto"/>
          <w:lang w:val="en-US" w:eastAsia="zh-CN"/>
        </w:rPr>
        <w:t>14</w:t>
      </w:r>
      <w:r>
        <w:rPr>
          <w:rFonts w:hint="eastAsia" w:ascii="仿宋" w:hAnsi="仿宋" w:eastAsia="仿宋" w:cs="仿宋"/>
          <w:color w:val="auto"/>
          <w:sz w:val="32"/>
          <w:szCs w:val="32"/>
          <w:shd w:val="clear" w:color="auto" w:fill="auto"/>
        </w:rPr>
        <w:t>日</w:t>
      </w:r>
    </w:p>
    <w:p>
      <w:pPr>
        <w:rPr>
          <w:rFonts w:ascii="仿宋" w:hAnsi="仿宋" w:eastAsia="仿宋" w:cs="仿宋"/>
          <w:color w:val="auto"/>
          <w:sz w:val="32"/>
          <w:szCs w:val="32"/>
        </w:rPr>
      </w:pPr>
      <w:r>
        <w:rPr>
          <w:rFonts w:hint="eastAsia" w:ascii="仿宋" w:hAnsi="仿宋" w:eastAsia="仿宋" w:cs="仿宋"/>
          <w:color w:val="auto"/>
          <w:sz w:val="32"/>
          <w:szCs w:val="32"/>
        </w:rPr>
        <w:t xml:space="preserve">三、公示期间我局将有工作人员受理咨询，请广大市民在公示期间提出合理的意见和建议。 </w:t>
      </w:r>
    </w:p>
    <w:p>
      <w:pPr>
        <w:rPr>
          <w:rFonts w:ascii="仿宋" w:hAnsi="仿宋" w:eastAsia="仿宋" w:cs="仿宋"/>
          <w:color w:val="auto"/>
          <w:sz w:val="32"/>
          <w:szCs w:val="32"/>
        </w:rPr>
      </w:pPr>
      <w:r>
        <w:rPr>
          <w:rFonts w:hint="eastAsia" w:ascii="仿宋" w:hAnsi="仿宋" w:eastAsia="仿宋" w:cs="仿宋"/>
          <w:color w:val="auto"/>
          <w:sz w:val="32"/>
          <w:szCs w:val="32"/>
        </w:rPr>
        <w:t xml:space="preserve">四、联系电话：0355-8089356 </w:t>
      </w:r>
    </w:p>
    <w:p>
      <w:pPr>
        <w:rPr>
          <w:rFonts w:ascii="仿宋" w:hAnsi="仿宋" w:eastAsia="仿宋" w:cs="仿宋"/>
          <w:color w:val="auto"/>
          <w:sz w:val="32"/>
          <w:szCs w:val="32"/>
        </w:rPr>
      </w:pPr>
      <w:r>
        <w:rPr>
          <w:rFonts w:hint="eastAsia" w:ascii="仿宋" w:hAnsi="仿宋" w:eastAsia="仿宋" w:cs="仿宋"/>
          <w:color w:val="auto"/>
          <w:sz w:val="32"/>
          <w:szCs w:val="32"/>
        </w:rPr>
        <w:t>特此公告</w:t>
      </w:r>
    </w:p>
    <w:p>
      <w:pPr>
        <w:ind w:firstLine="0" w:firstLineChars="0"/>
        <w:jc w:val="center"/>
        <w:rPr>
          <w:rFonts w:hint="eastAsia" w:ascii="方正小标宋_GBK" w:hAnsi="黑体" w:eastAsia="方正小标宋_GBK" w:cs="Times New Roman"/>
          <w:bCs/>
          <w:sz w:val="52"/>
          <w:szCs w:val="52"/>
        </w:rPr>
      </w:pPr>
    </w:p>
    <w:p>
      <w:pPr>
        <w:ind w:firstLine="0" w:firstLineChars="0"/>
        <w:jc w:val="center"/>
        <w:rPr>
          <w:rFonts w:hint="eastAsia" w:ascii="方正小标宋_GBK" w:hAnsi="黑体" w:eastAsia="方正小标宋_GBK" w:cs="Times New Roman"/>
          <w:bCs/>
          <w:sz w:val="52"/>
          <w:szCs w:val="52"/>
        </w:rPr>
      </w:pPr>
    </w:p>
    <w:p>
      <w:pPr>
        <w:ind w:firstLine="0" w:firstLineChars="0"/>
        <w:jc w:val="center"/>
        <w:rPr>
          <w:rFonts w:ascii="方正小标宋_GBK" w:hAnsi="Times New Roman" w:eastAsia="方正小标宋_GBK" w:cs="Times New Roman"/>
          <w:bCs/>
          <w:sz w:val="48"/>
          <w:szCs w:val="48"/>
        </w:rPr>
      </w:pPr>
    </w:p>
    <w:p>
      <w:pPr>
        <w:ind w:firstLine="0" w:firstLineChars="0"/>
        <w:jc w:val="center"/>
        <w:rPr>
          <w:rFonts w:ascii="方正小标宋_GBK" w:hAnsi="Times New Roman" w:eastAsia="方正小标宋_GBK" w:cs="Times New Roman"/>
          <w:bCs/>
          <w:sz w:val="48"/>
          <w:szCs w:val="48"/>
        </w:rPr>
      </w:pPr>
    </w:p>
    <w:p>
      <w:pPr>
        <w:ind w:firstLine="0" w:firstLineChars="0"/>
        <w:jc w:val="center"/>
        <w:rPr>
          <w:rFonts w:ascii="方正小标宋_GBK" w:hAnsi="Times New Roman" w:eastAsia="方正小标宋_GBK" w:cs="Times New Roman"/>
          <w:bCs/>
          <w:sz w:val="48"/>
          <w:szCs w:val="48"/>
        </w:rPr>
      </w:pPr>
    </w:p>
    <w:p>
      <w:pPr>
        <w:ind w:firstLine="0" w:firstLineChars="0"/>
        <w:jc w:val="center"/>
        <w:rPr>
          <w:rFonts w:ascii="方正小标宋_GBK" w:hAnsi="Times New Roman" w:eastAsia="方正小标宋_GBK" w:cs="Times New Roman"/>
          <w:bCs/>
          <w:sz w:val="48"/>
          <w:szCs w:val="48"/>
        </w:rPr>
      </w:pPr>
    </w:p>
    <w:p>
      <w:pPr>
        <w:ind w:firstLine="0" w:firstLineChars="0"/>
        <w:jc w:val="center"/>
        <w:rPr>
          <w:rFonts w:ascii="方正小标宋_GBK" w:hAnsi="Times New Roman" w:eastAsia="方正小标宋_GBK" w:cs="Times New Roman"/>
          <w:bCs/>
          <w:sz w:val="48"/>
          <w:szCs w:val="48"/>
        </w:rPr>
      </w:pPr>
    </w:p>
    <w:p>
      <w:pPr>
        <w:ind w:firstLine="0" w:firstLineChars="0"/>
        <w:jc w:val="center"/>
        <w:rPr>
          <w:rFonts w:ascii="方正小标宋_GBK" w:hAnsi="Times New Roman" w:eastAsia="方正小标宋_GBK" w:cs="Times New Roman"/>
          <w:bCs/>
          <w:sz w:val="48"/>
          <w:szCs w:val="48"/>
        </w:rPr>
      </w:pPr>
    </w:p>
    <w:p>
      <w:pPr>
        <w:ind w:firstLine="0" w:firstLineChars="0"/>
        <w:jc w:val="center"/>
        <w:rPr>
          <w:rFonts w:ascii="方正小标宋_GBK" w:hAnsi="Times New Roman" w:eastAsia="方正小标宋_GBK" w:cs="Times New Roman"/>
          <w:bCs/>
          <w:sz w:val="48"/>
          <w:szCs w:val="48"/>
        </w:rPr>
      </w:pPr>
      <w:bookmarkStart w:id="1" w:name="_GoBack"/>
      <w:bookmarkEnd w:id="1"/>
    </w:p>
    <w:p>
      <w:pPr>
        <w:pStyle w:val="3"/>
        <w:rPr>
          <w:rFonts w:hint="eastAsia"/>
        </w:rPr>
      </w:pPr>
      <w:r>
        <w:rPr>
          <w:rFonts w:hint="eastAsia"/>
        </w:rPr>
        <w:t>规划目的</w:t>
      </w:r>
    </w:p>
    <w:p>
      <w:pPr>
        <w:ind w:firstLine="600"/>
        <w:rPr>
          <w:rFonts w:hint="eastAsia"/>
          <w:lang w:val="zh-CN"/>
        </w:rPr>
      </w:pPr>
      <w:r>
        <w:rPr>
          <w:rFonts w:hint="eastAsia"/>
          <w:lang w:val="zh-CN"/>
        </w:rPr>
        <w:t>以党和国家对慢行交通发展的思想为指引，顺应新时期下城市交通发展理念的转变，切实改善居民出行环境，解决上党区目前存在的慢行交通问题，特编制《上党区绿道与慢行系统专项规划（2021年-2035年）》，指导后续慢行交通相关规划设计。</w:t>
      </w:r>
    </w:p>
    <w:p>
      <w:pPr>
        <w:pStyle w:val="3"/>
        <w:rPr>
          <w:rFonts w:hint="eastAsia"/>
        </w:rPr>
      </w:pPr>
      <w:r>
        <w:rPr>
          <w:rFonts w:hint="eastAsia"/>
        </w:rPr>
        <w:t>规划范围</w:t>
      </w:r>
    </w:p>
    <w:p>
      <w:pPr>
        <w:ind w:firstLine="600"/>
        <w:rPr>
          <w:rFonts w:ascii="Times New Roman" w:hAnsi="Times New Roman" w:cs="Times New Roman"/>
          <w:lang w:val="zh-CN"/>
        </w:rPr>
      </w:pPr>
      <w:r>
        <w:rPr>
          <w:rFonts w:hint="eastAsia" w:ascii="Times New Roman" w:hAnsi="Times New Roman" w:cs="Times New Roman"/>
          <w:lang w:val="zh-CN"/>
        </w:rPr>
        <w:t>本规划范围为上党区行政辖区，包括“6镇、3乡以及1个街道办事处”，共计181个行政村。</w:t>
      </w:r>
    </w:p>
    <w:p>
      <w:pPr>
        <w:pStyle w:val="3"/>
        <w:rPr>
          <w:rFonts w:hint="eastAsia"/>
        </w:rPr>
      </w:pPr>
      <w:r>
        <w:rPr>
          <w:rFonts w:hint="eastAsia"/>
        </w:rPr>
        <w:t>规划期限</w:t>
      </w:r>
    </w:p>
    <w:p>
      <w:pPr>
        <w:ind w:firstLine="600"/>
        <w:rPr>
          <w:rFonts w:hint="eastAsia"/>
          <w:lang w:val="zh-CN"/>
        </w:rPr>
      </w:pPr>
      <w:r>
        <w:rPr>
          <w:rFonts w:hint="eastAsia" w:ascii="Times New Roman" w:hAnsi="Times New Roman" w:cs="Times New Roman"/>
          <w:lang w:val="zh-CN"/>
        </w:rPr>
        <w:t>本规划期限为2021年到2035年。基期年为2021年，近期目标年至2025年，规划目标年为2035年。</w:t>
      </w:r>
    </w:p>
    <w:p>
      <w:pPr>
        <w:pStyle w:val="3"/>
        <w:rPr>
          <w:rFonts w:hint="eastAsia"/>
        </w:rPr>
      </w:pPr>
      <w:r>
        <w:rPr>
          <w:rFonts w:hint="eastAsia"/>
        </w:rPr>
        <w:t>规划目标</w:t>
      </w:r>
    </w:p>
    <w:p>
      <w:pPr>
        <w:ind w:firstLine="600"/>
        <w:rPr>
          <w:rFonts w:ascii="Times New Roman" w:hAnsi="Times New Roman" w:cs="Times New Roman"/>
          <w:lang w:val="zh-CN"/>
        </w:rPr>
      </w:pPr>
      <w:r>
        <w:rPr>
          <w:rFonts w:hint="eastAsia" w:ascii="Times New Roman" w:hAnsi="Times New Roman" w:cs="Times New Roman"/>
          <w:lang w:val="zh-CN"/>
        </w:rPr>
        <w:t>总体目标：规划设计落实以人为本、兼顾好看好用、反映地区特色、体现科技含量的慢行系统。</w:t>
      </w:r>
    </w:p>
    <w:p>
      <w:pPr>
        <w:ind w:firstLine="600"/>
        <w:rPr>
          <w:rFonts w:ascii="Times New Roman" w:hAnsi="Times New Roman" w:cs="Times New Roman"/>
          <w:lang w:val="zh-CN"/>
        </w:rPr>
      </w:pPr>
      <w:r>
        <w:rPr>
          <w:rFonts w:hint="eastAsia" w:ascii="Times New Roman" w:hAnsi="Times New Roman" w:cs="Times New Roman"/>
          <w:lang w:val="zh-CN"/>
        </w:rPr>
        <w:t>近期目标：率先落实慢行优先的精细化设计改造，实现步行道、自行车道的优化；注重提升市民的慢行休闲体验品质，创造宜人的慢行环境。</w:t>
      </w:r>
    </w:p>
    <w:p>
      <w:pPr>
        <w:ind w:firstLine="600"/>
        <w:rPr>
          <w:rFonts w:hint="eastAsia"/>
          <w:lang w:val="zh-CN"/>
        </w:rPr>
      </w:pPr>
      <w:r>
        <w:rPr>
          <w:rFonts w:hint="eastAsia" w:ascii="Times New Roman" w:hAnsi="Times New Roman" w:cs="Times New Roman"/>
          <w:lang w:val="zh-CN"/>
        </w:rPr>
        <w:t>远期目标：实现整个城区慢行交通系统的全面发展，形成完善的慢行交通网络，确保慢行交通设施能够满足不同人群、不同需求的多样化出行要求。</w:t>
      </w:r>
    </w:p>
    <w:p>
      <w:pPr>
        <w:pStyle w:val="3"/>
        <w:rPr>
          <w:rFonts w:hint="eastAsia"/>
        </w:rPr>
      </w:pPr>
      <w:r>
        <w:rPr>
          <w:rFonts w:hint="eastAsia"/>
        </w:rPr>
        <w:t>步行网络规划</w:t>
      </w:r>
    </w:p>
    <w:p>
      <w:pPr>
        <w:ind w:firstLine="600"/>
        <w:rPr>
          <w:rFonts w:ascii="Times New Roman" w:hAnsi="Times New Roman" w:cs="Times New Roman"/>
          <w:lang w:val="zh-CN"/>
        </w:rPr>
      </w:pPr>
      <w:r>
        <w:rPr>
          <w:rFonts w:hint="eastAsia" w:ascii="Times New Roman" w:hAnsi="Times New Roman" w:cs="Times New Roman"/>
          <w:lang w:val="zh-CN"/>
        </w:rPr>
        <w:t>以步行距离为空间尺度，包括城市核心区，及外围功能组团中心区，融合多种功能和活动，划分7个重点步行一级区和1个步行专用区。一级区内主干路次干路需重点考虑人行道宽度、过街设施、休息点等，严格遵循设计导则，还需注重与周边环境的融合，如绿化景观、文化元素的融入等。步行二级区为整体出行强度小，相较于一级区，二级区的步行网络规划可以适当放宽步行服务半径。于古韩路（新市西街-古桥路）设置步行专用区，打造特色步行街，采取交通稳静化措施，满足行人无障碍通行的需求；步行街禁止机动车及非机动车通行（特种车辆除外），周边条件允许处可适当设置停车点，步行区域禁止停放限行类车辆，货运车辆可在早晚特定时间段内驶入；步行街与各城市道路交叉口人行道（及盲道）采用连续铺装，设置路缘坡道。</w:t>
      </w:r>
    </w:p>
    <w:p>
      <w:pPr>
        <w:ind w:firstLine="0" w:firstLineChars="0"/>
        <w:jc w:val="center"/>
        <w:rPr>
          <w:rFonts w:hint="eastAsia"/>
          <w:lang w:val="zh-CN"/>
        </w:rPr>
      </w:pPr>
      <w:r>
        <w:drawing>
          <wp:inline distT="0" distB="0" distL="0" distR="0">
            <wp:extent cx="3097530" cy="4237355"/>
            <wp:effectExtent l="0" t="0" r="7620" b="0"/>
            <wp:docPr id="192679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9206" name="图片 1"/>
                    <pic:cNvPicPr>
                      <a:picLocks noChangeAspect="1"/>
                    </pic:cNvPicPr>
                  </pic:nvPicPr>
                  <pic:blipFill>
                    <a:blip r:embed="rId8"/>
                    <a:stretch>
                      <a:fillRect/>
                    </a:stretch>
                  </pic:blipFill>
                  <pic:spPr>
                    <a:xfrm>
                      <a:off x="0" y="0"/>
                      <a:ext cx="3104422" cy="4246621"/>
                    </a:xfrm>
                    <a:prstGeom prst="rect">
                      <a:avLst/>
                    </a:prstGeom>
                  </pic:spPr>
                </pic:pic>
              </a:graphicData>
            </a:graphic>
          </wp:inline>
        </w:drawing>
      </w:r>
    </w:p>
    <w:p>
      <w:pPr>
        <w:pStyle w:val="4"/>
        <w:ind w:firstLine="0" w:firstLineChars="0"/>
        <w:jc w:val="center"/>
        <w:rPr>
          <w:rFonts w:hint="eastAsia"/>
          <w:lang w:val="zh-CN"/>
        </w:rPr>
      </w:pPr>
      <w:r>
        <w:t xml:space="preserve">图 </w:t>
      </w:r>
      <w:r>
        <w:fldChar w:fldCharType="begin"/>
      </w:r>
      <w:r>
        <w:instrText xml:space="preserve"> SEQ 图 \* ARABIC </w:instrText>
      </w:r>
      <w:r>
        <w:fldChar w:fldCharType="separate"/>
      </w:r>
      <w:r>
        <w:rPr>
          <w:rFonts w:hint="eastAsia"/>
        </w:rPr>
        <w:t>1</w:t>
      </w:r>
      <w:r>
        <w:fldChar w:fldCharType="end"/>
      </w:r>
      <w:r>
        <w:rPr>
          <w:rFonts w:hint="eastAsia"/>
        </w:rPr>
        <w:t xml:space="preserve"> </w:t>
      </w:r>
      <w:r>
        <w:rPr>
          <w:rFonts w:hint="eastAsia"/>
          <w:lang w:val="zh-CN"/>
        </w:rPr>
        <w:t>中心城区步行分区规划图</w:t>
      </w:r>
    </w:p>
    <w:p>
      <w:pPr>
        <w:pStyle w:val="3"/>
        <w:rPr>
          <w:rFonts w:hint="eastAsia"/>
        </w:rPr>
      </w:pPr>
      <w:r>
        <w:rPr>
          <w:rFonts w:hint="eastAsia"/>
        </w:rPr>
        <w:t>骑行网络规划</w:t>
      </w:r>
    </w:p>
    <w:p>
      <w:pPr>
        <w:ind w:firstLine="600"/>
        <w:rPr>
          <w:rFonts w:ascii="Times New Roman" w:hAnsi="Times New Roman" w:cs="Times New Roman"/>
          <w:lang w:val="zh-CN"/>
        </w:rPr>
      </w:pPr>
      <w:r>
        <w:rPr>
          <w:rFonts w:hint="eastAsia" w:ascii="Times New Roman" w:hAnsi="Times New Roman" w:cs="Times New Roman"/>
          <w:lang w:val="zh-CN"/>
        </w:rPr>
        <w:t>构建总长35km“六横四纵”一级骑行廊道网，主要沿城市的主干路和重要次干路布局，具备较好的断面条件和连通性，能够确保自行车的顺畅骑行串接各功能组团，形成骑行网络主骨架，严格执行机非隔离，服务长距离跨组团联系。构建总长55km 二级骑行廊道网，以生活性功能为主，交通性功能为辅，合理设置机非隔离设施。</w:t>
      </w:r>
    </w:p>
    <w:p>
      <w:pPr>
        <w:ind w:firstLine="0" w:firstLineChars="0"/>
        <w:jc w:val="center"/>
        <w:rPr>
          <w:rFonts w:ascii="Times New Roman" w:hAnsi="Times New Roman" w:cs="Times New Roman"/>
          <w:lang w:val="zh-CN"/>
        </w:rPr>
      </w:pPr>
      <w:r>
        <w:drawing>
          <wp:inline distT="0" distB="0" distL="0" distR="0">
            <wp:extent cx="3151505" cy="4326255"/>
            <wp:effectExtent l="0" t="0" r="0" b="0"/>
            <wp:docPr id="441814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14119" name="图片 1"/>
                    <pic:cNvPicPr>
                      <a:picLocks noChangeAspect="1"/>
                    </pic:cNvPicPr>
                  </pic:nvPicPr>
                  <pic:blipFill>
                    <a:blip r:embed="rId9"/>
                    <a:stretch>
                      <a:fillRect/>
                    </a:stretch>
                  </pic:blipFill>
                  <pic:spPr>
                    <a:xfrm>
                      <a:off x="0" y="0"/>
                      <a:ext cx="3159347" cy="4336589"/>
                    </a:xfrm>
                    <a:prstGeom prst="rect">
                      <a:avLst/>
                    </a:prstGeom>
                  </pic:spPr>
                </pic:pic>
              </a:graphicData>
            </a:graphic>
          </wp:inline>
        </w:drawing>
      </w:r>
    </w:p>
    <w:p>
      <w:pPr>
        <w:pStyle w:val="4"/>
        <w:ind w:firstLine="0" w:firstLineChars="0"/>
        <w:jc w:val="center"/>
        <w:rPr>
          <w:rFonts w:hint="eastAsia"/>
          <w:lang w:val="zh-CN"/>
        </w:rPr>
      </w:pPr>
      <w:r>
        <w:t xml:space="preserve">图 </w:t>
      </w:r>
      <w:r>
        <w:fldChar w:fldCharType="begin"/>
      </w:r>
      <w:r>
        <w:instrText xml:space="preserve"> SEQ 图 \* ARABIC </w:instrText>
      </w:r>
      <w:r>
        <w:fldChar w:fldCharType="separate"/>
      </w:r>
      <w:r>
        <w:rPr>
          <w:rFonts w:hint="eastAsia"/>
        </w:rPr>
        <w:t>2</w:t>
      </w:r>
      <w:r>
        <w:fldChar w:fldCharType="end"/>
      </w:r>
      <w:r>
        <w:rPr>
          <w:rFonts w:hint="eastAsia"/>
        </w:rPr>
        <w:t xml:space="preserve"> </w:t>
      </w:r>
      <w:r>
        <w:rPr>
          <w:rFonts w:hint="eastAsia"/>
          <w:lang w:val="zh-CN"/>
        </w:rPr>
        <w:t>中心城区骑行网络规划图</w:t>
      </w:r>
    </w:p>
    <w:p>
      <w:pPr>
        <w:pStyle w:val="3"/>
        <w:rPr>
          <w:rFonts w:hint="eastAsia"/>
        </w:rPr>
      </w:pPr>
      <w:r>
        <w:rPr>
          <w:rFonts w:hint="eastAsia"/>
        </w:rPr>
        <w:t>绿道网络规划</w:t>
      </w:r>
    </w:p>
    <w:p>
      <w:pPr>
        <w:ind w:firstLine="600"/>
        <w:rPr>
          <w:rFonts w:ascii="Times New Roman" w:hAnsi="Times New Roman" w:cs="Times New Roman"/>
          <w:lang w:val="zh-CN"/>
        </w:rPr>
      </w:pPr>
      <w:r>
        <w:rPr>
          <w:rFonts w:hint="eastAsia" w:ascii="Times New Roman" w:hAnsi="Times New Roman" w:cs="Times New Roman"/>
          <w:lang w:val="zh-CN"/>
        </w:rPr>
        <w:t>遵循《上党区国土空间总体规划（2021年-2035年）》提出“一边两环”休闲绿道骨架结构，方案统筹结合相关规划、选线要素、选线原则等方面考虑，规划形成上党区域绿道六条。其中，1 号绿道沿用国道208 选线；2 号绿道沿用省道226 选线；3 号绿道沿用县道680、县道681 选线，串联正觉寺、神农生态园、五龙山风景区、上党战役指挥部北天河旧址等旅游资源；4 号绿道沿用县道710、县道936、县道713 选线，串联八义遗址、荫城古城、都城隍庙、振兴小镇、南宋村秦氏民宅等旅游资源；城区绿道结合五龙街、黎都街、振东街等两侧带状绿地，承载着休闲休憩的功能，为市民提供一个舒适、宜人的户外活动场所，承担城市形象展示的重要作用，通过优化设计，形成一个完整的绿色空间网络。规划4 条绿道连接线，包括X681 北段、X681 南段、X680 以及X710，以及沿线12座驿站，通过种植绿色植物、设置景观小品等方式，为旅客带来更加愉悦的视觉体验。</w:t>
      </w:r>
    </w:p>
    <w:p>
      <w:pPr>
        <w:ind w:firstLine="0" w:firstLineChars="0"/>
        <w:jc w:val="center"/>
        <w:rPr>
          <w:rFonts w:ascii="Times New Roman" w:hAnsi="Times New Roman" w:cs="Times New Roman"/>
          <w:lang w:val="zh-CN"/>
        </w:rPr>
      </w:pPr>
      <w:r>
        <w:drawing>
          <wp:inline distT="0" distB="0" distL="0" distR="0">
            <wp:extent cx="3220720" cy="4411345"/>
            <wp:effectExtent l="0" t="0" r="0" b="8255"/>
            <wp:docPr id="786691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1947" name="图片 1"/>
                    <pic:cNvPicPr>
                      <a:picLocks noChangeAspect="1"/>
                    </pic:cNvPicPr>
                  </pic:nvPicPr>
                  <pic:blipFill>
                    <a:blip r:embed="rId10"/>
                    <a:stretch>
                      <a:fillRect/>
                    </a:stretch>
                  </pic:blipFill>
                  <pic:spPr>
                    <a:xfrm>
                      <a:off x="0" y="0"/>
                      <a:ext cx="3231502" cy="4425906"/>
                    </a:xfrm>
                    <a:prstGeom prst="rect">
                      <a:avLst/>
                    </a:prstGeom>
                  </pic:spPr>
                </pic:pic>
              </a:graphicData>
            </a:graphic>
          </wp:inline>
        </w:drawing>
      </w:r>
    </w:p>
    <w:p>
      <w:pPr>
        <w:pStyle w:val="4"/>
        <w:ind w:firstLine="0" w:firstLineChars="0"/>
        <w:jc w:val="center"/>
        <w:rPr>
          <w:rFonts w:hint="eastAsia"/>
          <w:lang w:val="zh-CN"/>
        </w:rPr>
      </w:pPr>
      <w:r>
        <w:t xml:space="preserve">图 </w:t>
      </w:r>
      <w:r>
        <w:fldChar w:fldCharType="begin"/>
      </w:r>
      <w:r>
        <w:instrText xml:space="preserve"> SEQ 图 \* ARABIC </w:instrText>
      </w:r>
      <w:r>
        <w:fldChar w:fldCharType="separate"/>
      </w:r>
      <w:r>
        <w:rPr>
          <w:rFonts w:hint="eastAsia"/>
        </w:rPr>
        <w:t>3</w:t>
      </w:r>
      <w:r>
        <w:fldChar w:fldCharType="end"/>
      </w:r>
      <w:r>
        <w:rPr>
          <w:rFonts w:hint="eastAsia"/>
        </w:rPr>
        <w:t xml:space="preserve"> </w:t>
      </w:r>
      <w:r>
        <w:rPr>
          <w:rFonts w:hint="eastAsia"/>
          <w:lang w:val="zh-CN"/>
        </w:rPr>
        <w:t>绿道网络规划图</w:t>
      </w:r>
    </w:p>
    <w:p>
      <w:pPr>
        <w:pStyle w:val="3"/>
        <w:rPr>
          <w:rFonts w:hint="eastAsia"/>
        </w:rPr>
      </w:pPr>
      <w:r>
        <w:rPr>
          <w:rFonts w:hint="eastAsia"/>
        </w:rPr>
        <w:t>慢行设计导则指引</w:t>
      </w:r>
    </w:p>
    <w:p>
      <w:pPr>
        <w:ind w:firstLine="600"/>
        <w:rPr>
          <w:rFonts w:ascii="Times New Roman" w:hAnsi="Times New Roman" w:cs="Times New Roman"/>
          <w:lang w:val="zh-CN"/>
        </w:rPr>
      </w:pPr>
      <w:r>
        <w:rPr>
          <w:rFonts w:hint="eastAsia" w:ascii="Times New Roman" w:hAnsi="Times New Roman" w:cs="Times New Roman"/>
          <w:lang w:val="zh-CN"/>
        </w:rPr>
        <w:t>不同分类、分级的步行道，应采用不同的规划建设技术标准。其中一级区步行道宽度为强制性管控。</w:t>
      </w:r>
    </w:p>
    <w:p>
      <w:pPr>
        <w:ind w:firstLine="0" w:firstLineChars="0"/>
        <w:jc w:val="center"/>
        <w:rPr>
          <w:rFonts w:ascii="黑体" w:hAnsi="Times New Roman" w:eastAsia="黑体" w:cs="Times New Roman"/>
          <w:sz w:val="20"/>
          <w:szCs w:val="20"/>
          <w:lang w:val="zh-CN"/>
        </w:rPr>
      </w:pPr>
      <w:r>
        <w:rPr>
          <w:rFonts w:hint="eastAsia" w:ascii="黑体" w:hAnsi="Times New Roman" w:eastAsia="黑体" w:cs="Times New Roman"/>
          <w:sz w:val="20"/>
          <w:szCs w:val="20"/>
          <w:lang w:val="zh-CN"/>
        </w:rPr>
        <w:t>表1 步行网络分类、分级规划建设技术标准</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6"/>
        <w:gridCol w:w="844"/>
        <w:gridCol w:w="3516"/>
        <w:gridCol w:w="3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项目</w:t>
            </w:r>
          </w:p>
        </w:tc>
        <w:tc>
          <w:tcPr>
            <w:tcW w:w="2063" w:type="pc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一级区</w:t>
            </w:r>
          </w:p>
        </w:tc>
        <w:tc>
          <w:tcPr>
            <w:tcW w:w="2010" w:type="pc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二级区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432"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宽度</w:t>
            </w:r>
          </w:p>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（m）</w:t>
            </w:r>
          </w:p>
        </w:tc>
        <w:tc>
          <w:tcPr>
            <w:tcW w:w="495"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一般值</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≥3.5m（不含树池等设施带）</w:t>
            </w:r>
          </w:p>
        </w:tc>
        <w:tc>
          <w:tcPr>
            <w:tcW w:w="2010"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≥3m（不含树池等设施带）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432"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495"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极限值</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3m（不含树池等设施带）</w:t>
            </w:r>
          </w:p>
        </w:tc>
        <w:tc>
          <w:tcPr>
            <w:tcW w:w="2010"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2m（不含树池等设施带）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坡度</w:t>
            </w:r>
          </w:p>
        </w:tc>
        <w:tc>
          <w:tcPr>
            <w:tcW w:w="4073"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≤3%为宜，最大不宜超过8%，超过8%建议采用步梯。立体过街设施宜采用步梯及无障碍坡道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隔离设施</w:t>
            </w:r>
          </w:p>
        </w:tc>
        <w:tc>
          <w:tcPr>
            <w:tcW w:w="4073"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物理隔离，包括分隔带、护栏、隔离柱、阻车桩等；或抬高路面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9"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停驻空间</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如交叉口转角空间，道路红线外的微公园、建筑退线空间、公交站台等，间隔≤300m，每处≥30m</w:t>
            </w:r>
            <w:r>
              <w:rPr>
                <w:rFonts w:hint="eastAsia" w:ascii="宋体" w:hAnsi="宋体" w:eastAsia="宋体" w:cs="宋体"/>
                <w:bCs/>
                <w:kern w:val="0"/>
                <w:sz w:val="20"/>
                <w:szCs w:val="20"/>
                <w:vertAlign w:val="superscript"/>
              </w:rPr>
              <w:t>2</w:t>
            </w:r>
            <w:r>
              <w:rPr>
                <w:rFonts w:hint="eastAsia" w:ascii="宋体" w:hAnsi="宋体" w:eastAsia="宋体" w:cs="宋体"/>
                <w:bCs/>
                <w:kern w:val="0"/>
                <w:sz w:val="20"/>
                <w:szCs w:val="20"/>
              </w:rPr>
              <w:t>，</w:t>
            </w:r>
          </w:p>
        </w:tc>
        <w:tc>
          <w:tcPr>
            <w:tcW w:w="2010"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如交叉口转角空间，道路红线外的微公园、建筑退线空间、公交站台等，间隔≤500m，每处≥20m</w:t>
            </w:r>
            <w:r>
              <w:rPr>
                <w:rFonts w:hint="eastAsia" w:ascii="宋体" w:hAnsi="宋体" w:eastAsia="宋体" w:cs="宋体"/>
                <w:bCs/>
                <w:kern w:val="0"/>
                <w:sz w:val="20"/>
                <w:szCs w:val="20"/>
                <w:vertAlign w:val="superscript"/>
              </w:rPr>
              <w:t>2</w:t>
            </w:r>
            <w:r>
              <w:rPr>
                <w:rFonts w:hint="eastAsia" w:ascii="宋体" w:hAnsi="宋体" w:eastAsia="宋体" w:cs="宋体"/>
                <w:bCs/>
                <w:kern w:val="0"/>
                <w:sz w:val="20"/>
                <w:szCs w:val="20"/>
              </w:rPr>
              <w:t>，应满足安全疏散、无障碍通行要求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1"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（可与自行车合并设施）</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应满足安全疏散、无障碍通行要求</w:t>
            </w:r>
          </w:p>
        </w:tc>
        <w:tc>
          <w:tcPr>
            <w:tcW w:w="2010"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行道树</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路段及交叉口等待区应形成连续的林荫</w:t>
            </w:r>
          </w:p>
        </w:tc>
        <w:tc>
          <w:tcPr>
            <w:tcW w:w="2010"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路段及交叉口宜形成连续的林荫，否则种植间距不宜大于6m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铺装</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路段应连续铺装，机动车出入口处应保持水平连续，并设置阻车桩</w:t>
            </w:r>
          </w:p>
        </w:tc>
        <w:tc>
          <w:tcPr>
            <w:tcW w:w="2010"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路段应连续铺装，机动车出入口处宜保持水平连续，宜设置阻车桩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trPr>
        <w:tc>
          <w:tcPr>
            <w:tcW w:w="927" w:type="pct"/>
            <w:gridSpan w:val="2"/>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照明</w:t>
            </w:r>
          </w:p>
        </w:tc>
        <w:tc>
          <w:tcPr>
            <w:tcW w:w="4073" w:type="pct"/>
            <w:gridSpan w:val="2"/>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满足《城市道路照明设计标准CJJ45-2015》,优先考虑与机动车照明一体的兼顾人行道与非机动车道的照明形式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27" w:type="pct"/>
            <w:gridSpan w:val="2"/>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4073" w:type="pct"/>
            <w:gridSpan w:val="2"/>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过街设施间距</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≤300m，如平面过街应设置专用信号</w:t>
            </w:r>
          </w:p>
        </w:tc>
        <w:tc>
          <w:tcPr>
            <w:tcW w:w="2010"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≤500m，如平面过街宜设置专用信号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9"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交通标识系统</w:t>
            </w:r>
          </w:p>
        </w:tc>
        <w:tc>
          <w:tcPr>
            <w:tcW w:w="2063"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应在主要人流出入口、道路交叉口、公交站点等设置街区导向图；路名牌设置间距不大于500m；纪念地及旅游地等应采用500m，300m，100m三级预告设置；无障碍设施连续标示；保证夜间可视性</w:t>
            </w:r>
          </w:p>
        </w:tc>
        <w:tc>
          <w:tcPr>
            <w:tcW w:w="2010"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应在道路交叉口、公交站点等设置街区导向图；路名牌设置间距不大于500m；纪念地及旅游地等应采用300m，100m二级预告设置；无障碍设施连续标示，保证夜间可视性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5" w:hRule="atLeast"/>
        </w:trPr>
        <w:tc>
          <w:tcPr>
            <w:tcW w:w="92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无障碍设施</w:t>
            </w:r>
          </w:p>
        </w:tc>
        <w:tc>
          <w:tcPr>
            <w:tcW w:w="4073"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符合《无障碍设计规范》GB 50763-2012。应连续设置，且满足无障碍通行的要求。</w:t>
            </w:r>
          </w:p>
        </w:tc>
      </w:tr>
    </w:tbl>
    <w:p>
      <w:pPr>
        <w:ind w:firstLine="600"/>
        <w:rPr>
          <w:rFonts w:ascii="Times New Roman" w:hAnsi="Times New Roman" w:cs="Times New Roman"/>
        </w:rPr>
      </w:pPr>
      <w:r>
        <w:rPr>
          <w:rFonts w:hint="eastAsia" w:ascii="Times New Roman" w:hAnsi="Times New Roman" w:cs="Times New Roman"/>
        </w:rPr>
        <w:t>不同分类、分级的骑行道，应采用不同的规划建设技术标准。其中一级廊道宽度为强制性管控。</w:t>
      </w:r>
    </w:p>
    <w:p>
      <w:pPr>
        <w:ind w:firstLine="0" w:firstLineChars="0"/>
        <w:jc w:val="center"/>
        <w:rPr>
          <w:rFonts w:ascii="黑体" w:hAnsi="Times New Roman" w:eastAsia="黑体" w:cs="Times New Roman"/>
          <w:sz w:val="20"/>
          <w:szCs w:val="20"/>
          <w:lang w:val="zh-CN"/>
        </w:rPr>
      </w:pPr>
      <w:r>
        <w:rPr>
          <w:rFonts w:hint="eastAsia" w:ascii="黑体" w:hAnsi="Times New Roman" w:eastAsia="黑体" w:cs="Times New Roman"/>
          <w:sz w:val="20"/>
          <w:szCs w:val="20"/>
          <w:lang w:val="zh-CN"/>
        </w:rPr>
        <w:t>表2 骑行网络分类、分级规划建设技术标准</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2"/>
        <w:gridCol w:w="804"/>
        <w:gridCol w:w="1842"/>
        <w:gridCol w:w="1311"/>
        <w:gridCol w:w="1173"/>
        <w:gridCol w:w="2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966" w:type="pct"/>
            <w:gridSpan w:val="2"/>
            <w:vMerge w:val="restar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项目</w:t>
            </w:r>
          </w:p>
        </w:tc>
        <w:tc>
          <w:tcPr>
            <w:tcW w:w="2538" w:type="pct"/>
            <w:gridSpan w:val="3"/>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廊道</w:t>
            </w:r>
          </w:p>
        </w:tc>
        <w:tc>
          <w:tcPr>
            <w:tcW w:w="1496" w:type="pct"/>
            <w:vMerge w:val="restar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绿道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966" w:type="pct"/>
            <w:gridSpan w:val="2"/>
            <w:vMerge w:val="continue"/>
            <w:vAlign w:val="center"/>
          </w:tcPr>
          <w:p>
            <w:pPr>
              <w:widowControl/>
              <w:adjustRightInd w:val="0"/>
              <w:snapToGrid w:val="0"/>
              <w:ind w:firstLine="0" w:firstLineChars="0"/>
              <w:jc w:val="center"/>
              <w:rPr>
                <w:rFonts w:hint="eastAsia" w:ascii="宋体" w:hAnsi="宋体" w:eastAsia="宋体" w:cs="宋体"/>
                <w:b/>
                <w:kern w:val="0"/>
                <w:sz w:val="20"/>
                <w:szCs w:val="20"/>
              </w:rPr>
            </w:pPr>
          </w:p>
        </w:tc>
        <w:tc>
          <w:tcPr>
            <w:tcW w:w="1081" w:type="pct"/>
            <w:vMerge w:val="restar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一级廊道</w:t>
            </w:r>
          </w:p>
        </w:tc>
        <w:tc>
          <w:tcPr>
            <w:tcW w:w="1457" w:type="pct"/>
            <w:gridSpan w:val="2"/>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二级廊道</w:t>
            </w:r>
          </w:p>
        </w:tc>
        <w:tc>
          <w:tcPr>
            <w:tcW w:w="1496"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966" w:type="pct"/>
            <w:gridSpan w:val="2"/>
            <w:vMerge w:val="continue"/>
            <w:vAlign w:val="center"/>
          </w:tcPr>
          <w:p>
            <w:pPr>
              <w:widowControl/>
              <w:adjustRightInd w:val="0"/>
              <w:snapToGrid w:val="0"/>
              <w:ind w:firstLine="0" w:firstLineChars="0"/>
              <w:jc w:val="center"/>
              <w:rPr>
                <w:rFonts w:hint="eastAsia" w:ascii="宋体" w:hAnsi="宋体" w:eastAsia="宋体" w:cs="宋体"/>
                <w:b/>
                <w:kern w:val="0"/>
                <w:sz w:val="20"/>
                <w:szCs w:val="20"/>
              </w:rPr>
            </w:pPr>
          </w:p>
        </w:tc>
        <w:tc>
          <w:tcPr>
            <w:tcW w:w="1081" w:type="pct"/>
            <w:vMerge w:val="continue"/>
            <w:vAlign w:val="center"/>
          </w:tcPr>
          <w:p>
            <w:pPr>
              <w:widowControl/>
              <w:adjustRightInd w:val="0"/>
              <w:snapToGrid w:val="0"/>
              <w:ind w:firstLine="0" w:firstLineChars="0"/>
              <w:jc w:val="center"/>
              <w:rPr>
                <w:rFonts w:hint="eastAsia" w:ascii="宋体" w:hAnsi="宋体" w:eastAsia="宋体" w:cs="宋体"/>
                <w:b/>
                <w:kern w:val="0"/>
                <w:sz w:val="20"/>
                <w:szCs w:val="20"/>
              </w:rPr>
            </w:pPr>
          </w:p>
        </w:tc>
        <w:tc>
          <w:tcPr>
            <w:tcW w:w="769" w:type="pc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独立廊道</w:t>
            </w:r>
          </w:p>
        </w:tc>
        <w:tc>
          <w:tcPr>
            <w:tcW w:w="688" w:type="pct"/>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共享廊道</w:t>
            </w:r>
          </w:p>
        </w:tc>
        <w:tc>
          <w:tcPr>
            <w:tcW w:w="1496"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2" w:hRule="atLeast"/>
        </w:trPr>
        <w:tc>
          <w:tcPr>
            <w:tcW w:w="966"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通道间距（m）</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≤1000</w:t>
            </w:r>
          </w:p>
        </w:tc>
        <w:tc>
          <w:tcPr>
            <w:tcW w:w="769"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≤300</w:t>
            </w:r>
          </w:p>
        </w:tc>
        <w:tc>
          <w:tcPr>
            <w:tcW w:w="688"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依据空间受制约情况，具体确定</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依据生态、景观、休闲及娱乐等用地布局确定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3" w:hRule="atLeast"/>
        </w:trPr>
        <w:tc>
          <w:tcPr>
            <w:tcW w:w="494"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宽度（m）</w:t>
            </w:r>
          </w:p>
        </w:tc>
        <w:tc>
          <w:tcPr>
            <w:tcW w:w="472"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一般值</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≥3.0</w:t>
            </w:r>
          </w:p>
        </w:tc>
        <w:tc>
          <w:tcPr>
            <w:tcW w:w="769"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≥2.5</w:t>
            </w:r>
          </w:p>
        </w:tc>
        <w:tc>
          <w:tcPr>
            <w:tcW w:w="688"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混用，无单独空间</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494"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472"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极限值</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2.5</w:t>
            </w:r>
          </w:p>
        </w:tc>
        <w:tc>
          <w:tcPr>
            <w:tcW w:w="769"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1.5</w:t>
            </w:r>
          </w:p>
        </w:tc>
        <w:tc>
          <w:tcPr>
            <w:tcW w:w="688"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混用，无单独空间</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966"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坡度</w:t>
            </w:r>
          </w:p>
        </w:tc>
        <w:tc>
          <w:tcPr>
            <w:tcW w:w="4034" w:type="pct"/>
            <w:gridSpan w:val="4"/>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≤2.5%为宜，最大不宜超过8%。立体过街设施≤25%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966"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隔离设施</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物理隔离，包括分隔带、栏杆、隔离柱、阻车桩等</w:t>
            </w:r>
          </w:p>
        </w:tc>
        <w:tc>
          <w:tcPr>
            <w:tcW w:w="769"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物理隔离为主，流量较小路段可采用标线隔离</w:t>
            </w:r>
          </w:p>
        </w:tc>
        <w:tc>
          <w:tcPr>
            <w:tcW w:w="688"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物理隔离，或独立路权。与步行道并线时，可采用标线隔离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9" w:hRule="atLeast"/>
        </w:trPr>
        <w:tc>
          <w:tcPr>
            <w:tcW w:w="966"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停驻空间（包括车辆临时停放空间）</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如交叉口转角空间、微公园、建筑退线空间、公交站台等，间隔≤300m，每处≥10辆</w:t>
            </w:r>
          </w:p>
        </w:tc>
        <w:tc>
          <w:tcPr>
            <w:tcW w:w="145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如交叉口转角空间、微公园、建筑退线空间、公交站台等，间隔≤500m，每处≥5辆</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如交叉口转角空间、微公园等，间隔≤400m，每处≥10辆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966" w:type="pct"/>
            <w:gridSpan w:val="2"/>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车辆长期停放空间</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老城中心区间隔≤200m，</w:t>
            </w:r>
          </w:p>
        </w:tc>
        <w:tc>
          <w:tcPr>
            <w:tcW w:w="145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老城中心区间隔≤300m，</w:t>
            </w:r>
          </w:p>
        </w:tc>
        <w:tc>
          <w:tcPr>
            <w:tcW w:w="1496"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间隔≤500m，每处≥20辆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966" w:type="pct"/>
            <w:gridSpan w:val="2"/>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其他区域间隔≤400m，每处≥30辆</w:t>
            </w:r>
          </w:p>
        </w:tc>
        <w:tc>
          <w:tcPr>
            <w:tcW w:w="145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其他区域间隔≤600m，每处≥15辆</w:t>
            </w:r>
          </w:p>
        </w:tc>
        <w:tc>
          <w:tcPr>
            <w:tcW w:w="1496"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966" w:type="pct"/>
            <w:gridSpan w:val="2"/>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行道树</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路段及交叉口等待区应形成</w:t>
            </w:r>
          </w:p>
        </w:tc>
        <w:tc>
          <w:tcPr>
            <w:tcW w:w="1457" w:type="pct"/>
            <w:gridSpan w:val="2"/>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路段及交叉口宜形成连续的林荫，否则种植间距不宜大于6m</w:t>
            </w:r>
          </w:p>
        </w:tc>
        <w:tc>
          <w:tcPr>
            <w:tcW w:w="1496"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根据周边景观一体规划设计，宜形成连续的林荫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66" w:type="pct"/>
            <w:gridSpan w:val="2"/>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连续的林荫</w:t>
            </w:r>
          </w:p>
        </w:tc>
        <w:tc>
          <w:tcPr>
            <w:tcW w:w="1457" w:type="pct"/>
            <w:gridSpan w:val="2"/>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1496"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966" w:type="pct"/>
            <w:gridSpan w:val="2"/>
            <w:vMerge w:val="restart"/>
            <w:noWrap/>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铺装</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路段与交叉口应连续铺装，不间断；</w:t>
            </w:r>
          </w:p>
        </w:tc>
        <w:tc>
          <w:tcPr>
            <w:tcW w:w="769"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交叉口宜连续铺装</w:t>
            </w:r>
          </w:p>
        </w:tc>
        <w:tc>
          <w:tcPr>
            <w:tcW w:w="688"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可与人行过街设施共用</w:t>
            </w:r>
          </w:p>
        </w:tc>
        <w:tc>
          <w:tcPr>
            <w:tcW w:w="1496" w:type="pct"/>
            <w:vMerge w:val="restar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路段与交叉口应连续铺装，通过材质、色彩、形态组织等与周边环境相呼应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966" w:type="pct"/>
            <w:gridSpan w:val="2"/>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机动车出入口处宜采用彩色铺装</w:t>
            </w:r>
          </w:p>
        </w:tc>
        <w:tc>
          <w:tcPr>
            <w:tcW w:w="769"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688"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c>
          <w:tcPr>
            <w:tcW w:w="1496" w:type="pct"/>
            <w:vMerge w:val="continue"/>
            <w:vAlign w:val="center"/>
          </w:tcPr>
          <w:p>
            <w:pPr>
              <w:widowControl/>
              <w:adjustRightInd w:val="0"/>
              <w:snapToGrid w:val="0"/>
              <w:ind w:firstLine="0" w:firstLineChars="0"/>
              <w:jc w:val="center"/>
              <w:rPr>
                <w:rFonts w:hint="eastAsia" w:ascii="宋体" w:hAnsi="宋体" w:eastAsia="宋体" w:cs="宋体"/>
                <w:bCs/>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trPr>
        <w:tc>
          <w:tcPr>
            <w:tcW w:w="966" w:type="pct"/>
            <w:gridSpan w:val="2"/>
            <w:noWrap/>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照明</w:t>
            </w:r>
          </w:p>
        </w:tc>
        <w:tc>
          <w:tcPr>
            <w:tcW w:w="2538" w:type="pct"/>
            <w:gridSpan w:val="3"/>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满足《城市道路照明设计标准CJJ45-2015》,优先考虑与机动车照明一体的兼顾人行道与非机动车道的照明形式</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满足《城市道路照明设计标准CJJ45-2015》,宜设置专用照明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trPr>
        <w:tc>
          <w:tcPr>
            <w:tcW w:w="966" w:type="pct"/>
            <w:gridSpan w:val="2"/>
            <w:noWrap/>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交通标识系统</w:t>
            </w:r>
          </w:p>
        </w:tc>
        <w:tc>
          <w:tcPr>
            <w:tcW w:w="1081"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在平面过街处、车道起点、交叉口处、车辆停放区应设置，保证夜间可视性</w:t>
            </w:r>
          </w:p>
        </w:tc>
        <w:tc>
          <w:tcPr>
            <w:tcW w:w="1457" w:type="pct"/>
            <w:gridSpan w:val="2"/>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在车道起点、交叉口处、车辆停放区应设置；在平面过街处宜设置，保证夜间可视性</w:t>
            </w:r>
          </w:p>
        </w:tc>
        <w:tc>
          <w:tcPr>
            <w:tcW w:w="1496" w:type="pct"/>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在平面过街处、车道起点、交叉口处、车辆停放区应设置。在距离车道起点300m、100m处应增设导向标志</w:t>
            </w:r>
          </w:p>
        </w:tc>
      </w:tr>
    </w:tbl>
    <w:p>
      <w:pPr>
        <w:pStyle w:val="3"/>
        <w:rPr>
          <w:rFonts w:hint="eastAsia"/>
        </w:rPr>
      </w:pPr>
      <w:r>
        <w:rPr>
          <w:rFonts w:hint="eastAsia"/>
        </w:rPr>
        <w:t>政策管理保障</w:t>
      </w:r>
    </w:p>
    <w:p>
      <w:pPr>
        <w:ind w:firstLine="600"/>
        <w:rPr>
          <w:rFonts w:ascii="Times New Roman" w:hAnsi="Times New Roman" w:cs="Times New Roman"/>
          <w:lang w:val="zh-CN"/>
        </w:rPr>
      </w:pPr>
      <w:r>
        <w:rPr>
          <w:rFonts w:hint="eastAsia" w:ascii="Times New Roman" w:hAnsi="Times New Roman" w:cs="Times New Roman"/>
          <w:lang w:val="zh-CN"/>
        </w:rPr>
        <w:t>明确分期发展思路，抓牢分期发展重点。近期阶段，应优先在重点关注的近期实施项目中落实慢行优先的精细化设计改造，远期城区的交通设施应能满足多层次的慢行出行需求，管理体系应进一步完善。</w:t>
      </w:r>
    </w:p>
    <w:p>
      <w:pPr>
        <w:ind w:firstLine="600"/>
        <w:rPr>
          <w:rFonts w:ascii="Times New Roman" w:hAnsi="Times New Roman" w:cs="Times New Roman"/>
          <w:lang w:val="zh-CN"/>
        </w:rPr>
      </w:pPr>
      <w:r>
        <w:rPr>
          <w:rFonts w:hint="eastAsia" w:ascii="Times New Roman" w:hAnsi="Times New Roman" w:cs="Times New Roman"/>
          <w:lang w:val="zh-CN"/>
        </w:rPr>
        <w:t>严格实施《电动自行车安全技术规范（GB 17761-2018）》限速25km/h，整车不超过55kg。电机功率不超过400w，蓄电池标称电压不超过48V。</w:t>
      </w:r>
    </w:p>
    <w:p>
      <w:pPr>
        <w:ind w:firstLine="600"/>
        <w:rPr>
          <w:rFonts w:ascii="Times New Roman" w:hAnsi="Times New Roman" w:cs="Times New Roman"/>
          <w:lang w:val="zh-CN"/>
        </w:rPr>
      </w:pPr>
      <w:r>
        <w:rPr>
          <w:rFonts w:hint="eastAsia" w:ascii="Times New Roman" w:hAnsi="Times New Roman" w:cs="Times New Roman"/>
          <w:lang w:val="zh-CN"/>
        </w:rPr>
        <w:t>加强舆论宣传引导。举办绿色出行宣传教育活动，通过广播电视、公众号、学校教育、社区宣讲等形式，营造全社会绿色出行氛围。</w:t>
      </w:r>
    </w:p>
    <w:p>
      <w:pPr>
        <w:ind w:firstLine="600"/>
        <w:rPr>
          <w:rFonts w:ascii="Times New Roman" w:hAnsi="Times New Roman" w:cs="Times New Roman"/>
          <w:lang w:val="zh-CN"/>
        </w:rPr>
      </w:pPr>
      <w:r>
        <w:rPr>
          <w:rFonts w:hint="eastAsia" w:ascii="Times New Roman" w:hAnsi="Times New Roman" w:cs="Times New Roman"/>
          <w:lang w:val="zh-CN"/>
        </w:rPr>
        <w:t>深化公众参与。开展慢行公众座谈会，由各街道组织慢行者、驾行者、交通设计、建设、管理单位等，广泛收集公众意见。开展公众意愿调查，采取问卷咨询、意愿调查会等方式，汲取慢行交通建设管理的公众智慧。</w:t>
      </w:r>
    </w:p>
    <w:p>
      <w:pPr>
        <w:pStyle w:val="3"/>
        <w:rPr>
          <w:rFonts w:hint="eastAsia"/>
        </w:rPr>
      </w:pPr>
      <w:r>
        <w:rPr>
          <w:rFonts w:hint="eastAsia"/>
        </w:rPr>
        <w:t>建设行动计划</w:t>
      </w:r>
    </w:p>
    <w:p>
      <w:pPr>
        <w:ind w:firstLine="600"/>
        <w:rPr>
          <w:rFonts w:ascii="Times New Roman" w:hAnsi="Times New Roman" w:cs="Times New Roman"/>
          <w:lang w:val="zh-CN"/>
        </w:rPr>
      </w:pPr>
      <w:r>
        <w:rPr>
          <w:rFonts w:hint="eastAsia" w:ascii="Times New Roman" w:hAnsi="Times New Roman" w:cs="Times New Roman"/>
          <w:lang w:val="zh-CN"/>
        </w:rPr>
        <w:t>为进一步提升慢行系统的通行效率、安全性和美观度，结合用地布局，现状问题等对9条不同街道提出道路改造计划主要包括道路名称、红线宽度、断面形式以及具体的改造内容，包括机非隔离设置、公交站点衔接、路内停车管理、机动车出入口协调、机动车限速设置、路面铺装、景观节点建设、骑行路面养护、进行商业外摆管理等，以问题为导向，不同街道的改造重点根据各有侧重，注重慢行系统的优化，提升慢行出行意愿。</w:t>
      </w:r>
    </w:p>
    <w:p>
      <w:pPr>
        <w:ind w:firstLine="0" w:firstLineChars="0"/>
        <w:jc w:val="center"/>
        <w:rPr>
          <w:rFonts w:ascii="黑体" w:hAnsi="Times New Roman" w:eastAsia="黑体" w:cs="Times New Roman"/>
          <w:sz w:val="20"/>
          <w:szCs w:val="20"/>
          <w:lang w:val="zh-CN"/>
        </w:rPr>
      </w:pPr>
      <w:r>
        <w:rPr>
          <w:rFonts w:hint="eastAsia" w:ascii="黑体" w:hAnsi="Times New Roman" w:eastAsia="黑体" w:cs="Times New Roman"/>
          <w:sz w:val="20"/>
          <w:szCs w:val="20"/>
          <w:lang w:val="zh-CN"/>
        </w:rPr>
        <w:t>表3 近期建设计划</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166"/>
        <w:gridCol w:w="1164"/>
        <w:gridCol w:w="1164"/>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24" w:type="pct"/>
          </w:tcPr>
          <w:p>
            <w:pPr>
              <w:spacing w:before="120" w:line="240" w:lineRule="exact"/>
              <w:ind w:firstLine="0" w:firstLineChars="0"/>
              <w:rPr>
                <w:rFonts w:hint="eastAsia" w:ascii="宋体" w:hAnsi="宋体" w:eastAsia="宋体" w:cs="Times New Roman"/>
                <w:b/>
                <w:bCs/>
                <w:sz w:val="20"/>
                <w:szCs w:val="20"/>
              </w:rPr>
            </w:pPr>
            <w:r>
              <w:rPr>
                <w:rFonts w:hint="eastAsia" w:ascii="宋体" w:hAnsi="宋体" w:eastAsia="宋体" w:cs="Times New Roman"/>
                <w:b/>
                <w:bCs/>
                <w:sz w:val="20"/>
                <w:szCs w:val="20"/>
              </w:rPr>
              <w:t>序号</w:t>
            </w:r>
          </w:p>
        </w:tc>
        <w:tc>
          <w:tcPr>
            <w:tcW w:w="684" w:type="pct"/>
          </w:tcPr>
          <w:p>
            <w:pPr>
              <w:spacing w:before="120" w:line="240" w:lineRule="exact"/>
              <w:ind w:firstLine="0" w:firstLineChars="0"/>
              <w:rPr>
                <w:rFonts w:hint="eastAsia" w:ascii="宋体" w:hAnsi="宋体" w:eastAsia="宋体" w:cs="Times New Roman"/>
                <w:b/>
                <w:bCs/>
                <w:sz w:val="20"/>
                <w:szCs w:val="20"/>
              </w:rPr>
            </w:pPr>
            <w:r>
              <w:rPr>
                <w:rFonts w:hint="eastAsia" w:ascii="宋体" w:hAnsi="宋体" w:eastAsia="宋体" w:cs="Times New Roman"/>
                <w:b/>
                <w:bCs/>
                <w:sz w:val="20"/>
                <w:szCs w:val="20"/>
              </w:rPr>
              <w:t>道路名称</w:t>
            </w:r>
          </w:p>
        </w:tc>
        <w:tc>
          <w:tcPr>
            <w:tcW w:w="683" w:type="pct"/>
          </w:tcPr>
          <w:p>
            <w:pPr>
              <w:spacing w:before="120" w:line="240" w:lineRule="exact"/>
              <w:ind w:firstLine="0" w:firstLineChars="0"/>
              <w:rPr>
                <w:rFonts w:hint="eastAsia" w:ascii="宋体" w:hAnsi="宋体" w:eastAsia="宋体" w:cs="Times New Roman"/>
                <w:b/>
                <w:bCs/>
                <w:sz w:val="20"/>
                <w:szCs w:val="20"/>
              </w:rPr>
            </w:pPr>
            <w:r>
              <w:rPr>
                <w:rFonts w:hint="eastAsia" w:ascii="宋体" w:hAnsi="宋体" w:eastAsia="宋体" w:cs="Times New Roman"/>
                <w:b/>
                <w:bCs/>
                <w:sz w:val="20"/>
                <w:szCs w:val="20"/>
              </w:rPr>
              <w:t>红线宽度</w:t>
            </w:r>
          </w:p>
        </w:tc>
        <w:tc>
          <w:tcPr>
            <w:tcW w:w="683" w:type="pct"/>
          </w:tcPr>
          <w:p>
            <w:pPr>
              <w:spacing w:before="120" w:line="240" w:lineRule="exact"/>
              <w:ind w:firstLine="0" w:firstLineChars="0"/>
              <w:rPr>
                <w:rFonts w:hint="eastAsia" w:ascii="宋体" w:hAnsi="宋体" w:eastAsia="宋体" w:cs="Times New Roman"/>
                <w:b/>
                <w:bCs/>
                <w:sz w:val="20"/>
                <w:szCs w:val="20"/>
              </w:rPr>
            </w:pPr>
            <w:r>
              <w:rPr>
                <w:rFonts w:hint="eastAsia" w:ascii="宋体" w:hAnsi="宋体" w:eastAsia="宋体" w:cs="Times New Roman"/>
                <w:b/>
                <w:bCs/>
                <w:sz w:val="20"/>
                <w:szCs w:val="20"/>
              </w:rPr>
              <w:t>断面形式</w:t>
            </w:r>
          </w:p>
        </w:tc>
        <w:tc>
          <w:tcPr>
            <w:tcW w:w="2526" w:type="pct"/>
          </w:tcPr>
          <w:p>
            <w:pPr>
              <w:spacing w:before="120" w:line="240" w:lineRule="exact"/>
              <w:ind w:firstLine="0" w:firstLineChars="0"/>
              <w:rPr>
                <w:rFonts w:hint="eastAsia" w:ascii="宋体" w:hAnsi="宋体" w:eastAsia="宋体" w:cs="Times New Roman"/>
                <w:b/>
                <w:bCs/>
                <w:sz w:val="20"/>
                <w:szCs w:val="20"/>
              </w:rPr>
            </w:pPr>
            <w:r>
              <w:rPr>
                <w:rFonts w:hint="eastAsia" w:ascii="宋体" w:hAnsi="宋体" w:eastAsia="宋体" w:cs="Times New Roman"/>
                <w:b/>
                <w:bCs/>
                <w:sz w:val="20"/>
                <w:szCs w:val="20"/>
              </w:rPr>
              <w:t>改造内容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1</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黎都街</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38m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三块板</w:t>
            </w:r>
          </w:p>
        </w:tc>
        <w:tc>
          <w:tcPr>
            <w:tcW w:w="2526" w:type="pct"/>
          </w:tcPr>
          <w:p>
            <w:pPr>
              <w:numPr>
                <w:ilvl w:val="0"/>
                <w:numId w:val="2"/>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强化慢行与公交站点的衔接。于区党校站、经煤小区站、区检察院站、黎都家园站、区国土资源局、区交通局站设置人行过街斑马线；公交站点50米范围内配套自行车停放设施；</w:t>
            </w:r>
          </w:p>
          <w:p>
            <w:pPr>
              <w:numPr>
                <w:ilvl w:val="0"/>
                <w:numId w:val="2"/>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优化路内停车管理。逐渐减少路内停车比例，于光明北路-正大北路段取消路内停车；</w:t>
            </w:r>
          </w:p>
          <w:p>
            <w:pPr>
              <w:numPr>
                <w:ilvl w:val="0"/>
                <w:numId w:val="2"/>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与地块机动车出入口协调。于黎都街全段机动车出入口处人行道沿机动车行驶轨迹外侧设置阻车桩，地块出入口穿过人行道时，应设置起坡过街带；</w:t>
            </w:r>
          </w:p>
          <w:p>
            <w:pPr>
              <w:numPr>
                <w:ilvl w:val="0"/>
                <w:numId w:val="2"/>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于红线外新增“城隍-民生”主题化景观节点，构建连续系统景观绿化带，为市民创造公共活动场地；</w:t>
            </w:r>
          </w:p>
          <w:p>
            <w:pPr>
              <w:numPr>
                <w:ilvl w:val="0"/>
                <w:numId w:val="2"/>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全段骑行路面进行养护，提高路面平整度。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2</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新市街</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20m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一块板</w:t>
            </w:r>
          </w:p>
        </w:tc>
        <w:tc>
          <w:tcPr>
            <w:tcW w:w="2526" w:type="pct"/>
          </w:tcPr>
          <w:p>
            <w:pPr>
              <w:numPr>
                <w:ilvl w:val="0"/>
                <w:numId w:val="3"/>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新市街机动车静稳化。于新建北路-正大南路段，实施机动车限速，过街处抬高路面，连续全铺装，路段增设减速带，与古韩路交叉口增设过街设施；</w:t>
            </w:r>
          </w:p>
          <w:p>
            <w:pPr>
              <w:numPr>
                <w:ilvl w:val="0"/>
                <w:numId w:val="3"/>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于古韩路-新市街交叉口红线外，有效整理、利用城市规划盲区里的剩余空间，对步行道路交叉口、街角等进行景观设计丰富空间层次；</w:t>
            </w:r>
          </w:p>
          <w:p>
            <w:pPr>
              <w:numPr>
                <w:ilvl w:val="0"/>
                <w:numId w:val="3"/>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于兴盛商贸城建筑前区空间设置规范的立体非机动车停车区；</w:t>
            </w:r>
          </w:p>
          <w:p>
            <w:pPr>
              <w:numPr>
                <w:ilvl w:val="0"/>
                <w:numId w:val="3"/>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全路段进行人行道坡化处理；</w:t>
            </w:r>
          </w:p>
          <w:p>
            <w:pPr>
              <w:numPr>
                <w:ilvl w:val="0"/>
                <w:numId w:val="3"/>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成立商业外摆领导小组。进行商业外摆管理，机动车禁止停车、非机动车定点停放。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3</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古韩路</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12m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一块板</w:t>
            </w:r>
          </w:p>
        </w:tc>
        <w:tc>
          <w:tcPr>
            <w:tcW w:w="2526" w:type="pct"/>
          </w:tcPr>
          <w:p>
            <w:pPr>
              <w:numPr>
                <w:ilvl w:val="0"/>
                <w:numId w:val="4"/>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打造上党特色步行街。自新市西街-古桥街禁止机动车及非机动车通行（特种车辆除外），居民商户可就近利用两侧小巷满足到达需求，周边条件允许处可适当设置停车点，步行区域禁止停放限行类车辆；货运车辆可在早晚特定时间段内驶入；</w:t>
            </w:r>
          </w:p>
          <w:p>
            <w:pPr>
              <w:numPr>
                <w:ilvl w:val="0"/>
                <w:numId w:val="4"/>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对步行街路面进行个性化铺装。统一主题风格、规格装饰的方式处理，通过色彩、图案的添加，作为区分功能的显著标识；</w:t>
            </w:r>
          </w:p>
          <w:p>
            <w:pPr>
              <w:numPr>
                <w:ilvl w:val="0"/>
                <w:numId w:val="4"/>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成立商业外摆领导小组。进行商业外摆管理，机动车禁止停车、非机动车定点停放。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4</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光明路</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42m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二块板</w:t>
            </w:r>
          </w:p>
        </w:tc>
        <w:tc>
          <w:tcPr>
            <w:tcW w:w="2526" w:type="pct"/>
          </w:tcPr>
          <w:p>
            <w:pPr>
              <w:numPr>
                <w:ilvl w:val="0"/>
                <w:numId w:val="5"/>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于黎都街-体育街鼓励物业开放。鼓励光明北路沿街单位、小区物业如明乐苑、信合大厦等开放部分停车场、小区围栏等阻隔慢行空间的物业使用；</w:t>
            </w:r>
          </w:p>
          <w:p>
            <w:pPr>
              <w:numPr>
                <w:ilvl w:val="0"/>
                <w:numId w:val="5"/>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凯德世家广场交通组织提升。增加出入口铺地暗示，强化建筑与周围公共空间之间的步行连接；增加入口处夜景亮化，营造具有活力的商业氛围；加强商业广场步行街与体育公园、体育运动场、综合体育馆的步行连接，打造功能复合的商业文体系统；</w:t>
            </w:r>
          </w:p>
          <w:p>
            <w:pPr>
              <w:numPr>
                <w:ilvl w:val="0"/>
                <w:numId w:val="5"/>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凯德世家广场智慧过街项目。设置智能化的过街导视系统，监测路口的人流和车流情况，根据实时数据调整信号灯配时，提高路口的通行效率；通过电子显示屏和指示牌实时显示交通信息，引导行人和骑行者安全过街；</w:t>
            </w:r>
          </w:p>
          <w:p>
            <w:pPr>
              <w:numPr>
                <w:ilvl w:val="0"/>
                <w:numId w:val="5"/>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 xml:space="preserve">于全段自行车道施划文化-体育系列主题彩色铺装，强化骑行出行者路权。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5</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振东街</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40m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二块板</w:t>
            </w:r>
          </w:p>
        </w:tc>
        <w:tc>
          <w:tcPr>
            <w:tcW w:w="2526" w:type="pct"/>
          </w:tcPr>
          <w:p>
            <w:pPr>
              <w:numPr>
                <w:ilvl w:val="0"/>
                <w:numId w:val="6"/>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于振东西街增设物理机非隔离设施，保障独立骑行廊道宽度不小于3.5m；</w:t>
            </w:r>
          </w:p>
          <w:p>
            <w:pPr>
              <w:numPr>
                <w:ilvl w:val="0"/>
                <w:numId w:val="6"/>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于G208-海子河公园段设置明确的交通标志和标线，引导行人和骑行者安全通行，同时，于海子河公园北门处合理设置过街设施，如斑马线、红绿灯等，确保行人和骑行者能够顺利、安全地到达海子河公园；</w:t>
            </w:r>
          </w:p>
          <w:p>
            <w:pPr>
              <w:numPr>
                <w:ilvl w:val="0"/>
                <w:numId w:val="6"/>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于振东街全段自行车道施划休闲-康养系列主题彩色铺装，强化骑行出行者路权。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6</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新建路</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28m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二块板</w:t>
            </w:r>
          </w:p>
        </w:tc>
        <w:tc>
          <w:tcPr>
            <w:tcW w:w="2526" w:type="pct"/>
          </w:tcPr>
          <w:p>
            <w:pPr>
              <w:numPr>
                <w:ilvl w:val="0"/>
                <w:numId w:val="7"/>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全段增设物理机非隔离设施，保障独立骑行廊道宽度不小于3.5m；</w:t>
            </w:r>
          </w:p>
          <w:p>
            <w:pPr>
              <w:numPr>
                <w:ilvl w:val="0"/>
                <w:numId w:val="7"/>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于全段自行车道施划技艺-经营系列主题彩色铺装，强化骑行出行者路权。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7</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古桥街</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24m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二块板</w:t>
            </w:r>
          </w:p>
        </w:tc>
        <w:tc>
          <w:tcPr>
            <w:tcW w:w="2526" w:type="pct"/>
          </w:tcPr>
          <w:p>
            <w:pPr>
              <w:numPr>
                <w:ilvl w:val="0"/>
                <w:numId w:val="8"/>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全段增设物理机非隔离设施，保障独立骑行廊道宽度不小于2.5m。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8</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五龙西街</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50m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一块板</w:t>
            </w:r>
          </w:p>
        </w:tc>
        <w:tc>
          <w:tcPr>
            <w:tcW w:w="2526" w:type="pct"/>
          </w:tcPr>
          <w:p>
            <w:pPr>
              <w:numPr>
                <w:ilvl w:val="0"/>
                <w:numId w:val="9"/>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全段增设物理机非隔离设施，保障独立骑行廊道宽度不小于3.5m；</w:t>
            </w:r>
          </w:p>
          <w:p>
            <w:pPr>
              <w:numPr>
                <w:ilvl w:val="0"/>
                <w:numId w:val="9"/>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于全段自行车道施划休闲-康养系列主题彩色铺装，强化骑行出行者路权。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9</w:t>
            </w:r>
          </w:p>
        </w:tc>
        <w:tc>
          <w:tcPr>
            <w:tcW w:w="684"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延安南路</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28m</w:t>
            </w:r>
          </w:p>
        </w:tc>
        <w:tc>
          <w:tcPr>
            <w:tcW w:w="683" w:type="pct"/>
            <w:vAlign w:val="center"/>
          </w:tcPr>
          <w:p>
            <w:pPr>
              <w:spacing w:before="120" w:line="240" w:lineRule="exact"/>
              <w:ind w:firstLine="0" w:firstLineChars="0"/>
              <w:rPr>
                <w:rFonts w:hint="eastAsia" w:ascii="宋体" w:hAnsi="宋体" w:eastAsia="宋体" w:cs="Times New Roman"/>
                <w:sz w:val="20"/>
                <w:szCs w:val="20"/>
              </w:rPr>
            </w:pPr>
            <w:r>
              <w:rPr>
                <w:rFonts w:hint="eastAsia" w:ascii="宋体" w:hAnsi="宋体" w:eastAsia="宋体" w:cs="Times New Roman"/>
                <w:sz w:val="20"/>
                <w:szCs w:val="20"/>
              </w:rPr>
              <w:t>二块板</w:t>
            </w:r>
          </w:p>
        </w:tc>
        <w:tc>
          <w:tcPr>
            <w:tcW w:w="2526" w:type="pct"/>
          </w:tcPr>
          <w:p>
            <w:pPr>
              <w:numPr>
                <w:ilvl w:val="0"/>
                <w:numId w:val="10"/>
              </w:numPr>
              <w:spacing w:before="156" w:beforeLines="50" w:line="240" w:lineRule="exact"/>
              <w:ind w:firstLineChars="0"/>
              <w:rPr>
                <w:rFonts w:hint="eastAsia" w:ascii="宋体" w:hAnsi="宋体" w:eastAsia="宋体" w:cs="Times New Roman"/>
                <w:sz w:val="20"/>
                <w:szCs w:val="20"/>
              </w:rPr>
            </w:pPr>
            <w:r>
              <w:rPr>
                <w:rFonts w:hint="eastAsia" w:ascii="宋体" w:hAnsi="宋体" w:eastAsia="宋体" w:cs="Times New Roman"/>
                <w:sz w:val="20"/>
                <w:szCs w:val="20"/>
              </w:rPr>
              <w:t>扩宽道路红线断面至32m，单侧增加非机动车道，宽度不小于3.5m。</w:t>
            </w:r>
          </w:p>
        </w:tc>
      </w:tr>
    </w:tbl>
    <w:p>
      <w:pPr>
        <w:ind w:firstLine="600"/>
        <w:rPr>
          <w:rFonts w:ascii="Times New Roman" w:hAnsi="Times New Roman" w:cs="Times New Roman"/>
        </w:rPr>
      </w:pPr>
      <w:r>
        <w:rPr>
          <w:rFonts w:hint="eastAsia" w:ascii="Times New Roman" w:hAnsi="Times New Roman" w:cs="Times New Roman"/>
        </w:rPr>
        <w:t>远期谋划5个创美好出行项目，围绕城市交通的慢行系统进行的改造和优化，逐步提升慢行系统的连续性、舒适性和安全性。</w:t>
      </w:r>
    </w:p>
    <w:p>
      <w:pPr>
        <w:ind w:firstLine="0" w:firstLineChars="0"/>
        <w:jc w:val="center"/>
        <w:rPr>
          <w:rFonts w:ascii="黑体" w:hAnsi="Times New Roman" w:eastAsia="黑体" w:cs="Times New Roman"/>
          <w:sz w:val="20"/>
          <w:szCs w:val="20"/>
          <w:lang w:val="zh-CN"/>
        </w:rPr>
      </w:pPr>
      <w:r>
        <w:rPr>
          <w:rFonts w:hint="eastAsia" w:ascii="黑体" w:hAnsi="Times New Roman" w:eastAsia="黑体" w:cs="Times New Roman"/>
          <w:sz w:val="20"/>
          <w:szCs w:val="20"/>
          <w:lang w:val="zh-CN"/>
        </w:rPr>
        <w:t>表4 远期储备项目</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0"/>
        <w:gridCol w:w="6088"/>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0" w:type="auto"/>
            <w:vAlign w:val="center"/>
          </w:tcPr>
          <w:p>
            <w:pPr>
              <w:widowControl/>
              <w:adjustRightInd w:val="0"/>
              <w:snapToGrid w:val="0"/>
              <w:ind w:firstLine="0" w:firstLineChars="0"/>
              <w:jc w:val="center"/>
              <w:rPr>
                <w:rFonts w:hint="eastAsia" w:ascii="宋体" w:hAnsi="宋体" w:eastAsia="宋体" w:cs="宋体"/>
                <w:b/>
                <w:kern w:val="0"/>
                <w:sz w:val="20"/>
                <w:szCs w:val="20"/>
              </w:rPr>
            </w:pPr>
            <w:bookmarkStart w:id="0" w:name="_Hlk183181287"/>
            <w:r>
              <w:rPr>
                <w:rFonts w:hint="eastAsia" w:ascii="宋体" w:hAnsi="宋体" w:eastAsia="宋体" w:cs="宋体"/>
                <w:b/>
                <w:kern w:val="0"/>
                <w:sz w:val="20"/>
                <w:szCs w:val="20"/>
              </w:rPr>
              <w:t>项目名称</w:t>
            </w:r>
          </w:p>
        </w:tc>
        <w:tc>
          <w:tcPr>
            <w:tcW w:w="6088" w:type="dxa"/>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主要内容</w:t>
            </w:r>
          </w:p>
        </w:tc>
        <w:tc>
          <w:tcPr>
            <w:tcW w:w="788" w:type="dxa"/>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
                <w:kern w:val="0"/>
                <w:sz w:val="20"/>
                <w:szCs w:val="20"/>
              </w:rPr>
              <w:t>进度计划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0" w:type="auto"/>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Cs/>
                <w:kern w:val="0"/>
                <w:sz w:val="20"/>
                <w:szCs w:val="20"/>
              </w:rPr>
              <w:t>光明路渠化路口自行车优先道施划项目</w:t>
            </w:r>
          </w:p>
        </w:tc>
        <w:tc>
          <w:tcPr>
            <w:tcW w:w="6088" w:type="dxa"/>
            <w:vAlign w:val="center"/>
          </w:tcPr>
          <w:p>
            <w:pPr>
              <w:widowControl/>
              <w:numPr>
                <w:ilvl w:val="0"/>
                <w:numId w:val="11"/>
              </w:numPr>
              <w:adjustRightInd w:val="0"/>
              <w:snapToGrid w:val="0"/>
              <w:ind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设置自行车优先道：在渠化交叉口的进口道和出口道设置明确的自行车道，采用标线、颜色区分等手段，确保骑行者在路口的通行权益；</w:t>
            </w:r>
          </w:p>
          <w:p>
            <w:pPr>
              <w:widowControl/>
              <w:numPr>
                <w:ilvl w:val="0"/>
                <w:numId w:val="11"/>
              </w:numPr>
              <w:adjustRightInd w:val="0"/>
              <w:snapToGrid w:val="0"/>
              <w:ind w:firstLineChars="0"/>
              <w:rPr>
                <w:rFonts w:hint="eastAsia" w:ascii="宋体" w:hAnsi="宋体" w:eastAsia="宋体" w:cs="宋体"/>
                <w:bCs/>
                <w:kern w:val="0"/>
                <w:sz w:val="20"/>
                <w:szCs w:val="20"/>
              </w:rPr>
            </w:pPr>
            <w:r>
              <w:rPr>
                <w:rFonts w:hint="eastAsia" w:ascii="宋体" w:hAnsi="宋体" w:eastAsia="宋体" w:cs="宋体"/>
                <w:bCs/>
                <w:kern w:val="0"/>
                <w:sz w:val="20"/>
                <w:szCs w:val="20"/>
              </w:rPr>
              <w:t>在自行车道与机动车道交汇处设置明确的交通标志和标线，提醒机动车驾驶员注意骑行者的存在，减少交通事故的发生。</w:t>
            </w:r>
          </w:p>
        </w:tc>
        <w:tc>
          <w:tcPr>
            <w:tcW w:w="788" w:type="dxa"/>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Cs/>
                <w:kern w:val="0"/>
                <w:sz w:val="20"/>
                <w:szCs w:val="20"/>
              </w:rPr>
              <w:t>远期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0" w:type="auto"/>
            <w:vAlign w:val="center"/>
          </w:tcPr>
          <w:p>
            <w:pPr>
              <w:widowControl/>
              <w:adjustRightInd w:val="0"/>
              <w:snapToGrid w:val="0"/>
              <w:ind w:firstLine="0" w:firstLineChars="0"/>
              <w:jc w:val="center"/>
              <w:rPr>
                <w:rFonts w:hint="eastAsia" w:ascii="宋体" w:hAnsi="宋体" w:eastAsia="宋体" w:cs="宋体"/>
                <w:b/>
                <w:kern w:val="0"/>
                <w:sz w:val="20"/>
                <w:szCs w:val="20"/>
              </w:rPr>
            </w:pPr>
            <w:r>
              <w:rPr>
                <w:rFonts w:hint="eastAsia" w:ascii="宋体" w:hAnsi="宋体" w:eastAsia="宋体" w:cs="宋体"/>
                <w:bCs/>
                <w:kern w:val="0"/>
                <w:sz w:val="20"/>
                <w:szCs w:val="20"/>
              </w:rPr>
              <w:t>府后西街降速措施实施项目</w:t>
            </w:r>
          </w:p>
        </w:tc>
        <w:tc>
          <w:tcPr>
            <w:tcW w:w="6088" w:type="dxa"/>
            <w:vAlign w:val="center"/>
          </w:tcPr>
          <w:p>
            <w:pPr>
              <w:widowControl/>
              <w:numPr>
                <w:ilvl w:val="0"/>
                <w:numId w:val="12"/>
              </w:numPr>
              <w:adjustRightInd w:val="0"/>
              <w:snapToGrid w:val="0"/>
              <w:ind w:firstLineChars="0"/>
              <w:jc w:val="left"/>
              <w:rPr>
                <w:rFonts w:hint="eastAsia" w:ascii="宋体" w:hAnsi="宋体" w:eastAsia="宋体" w:cs="宋体"/>
                <w:b/>
                <w:kern w:val="0"/>
                <w:sz w:val="20"/>
                <w:szCs w:val="20"/>
              </w:rPr>
            </w:pPr>
            <w:r>
              <w:rPr>
                <w:rFonts w:hint="eastAsia" w:ascii="宋体" w:hAnsi="宋体" w:eastAsia="宋体" w:cs="宋体"/>
                <w:bCs/>
                <w:kern w:val="0"/>
                <w:sz w:val="20"/>
                <w:szCs w:val="20"/>
              </w:rPr>
              <w:t>优化路面，实现路面的静稳化处理：通过交叉口路面抬高、减速带设置等，降低机动车行驶过程中的速度和噪音，保障路段慢行出行安全。</w:t>
            </w:r>
          </w:p>
        </w:tc>
        <w:tc>
          <w:tcPr>
            <w:tcW w:w="788" w:type="dxa"/>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远期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420" w:type="dxa"/>
            <w:vAlign w:val="center"/>
          </w:tcPr>
          <w:p>
            <w:pPr>
              <w:widowControl/>
              <w:adjustRightInd w:val="0"/>
              <w:snapToGrid w:val="0"/>
              <w:ind w:firstLine="0"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路段慢行空间机非隔离改造储备项目</w:t>
            </w:r>
          </w:p>
        </w:tc>
        <w:tc>
          <w:tcPr>
            <w:tcW w:w="6088" w:type="dxa"/>
            <w:vAlign w:val="center"/>
          </w:tcPr>
          <w:p>
            <w:pPr>
              <w:widowControl/>
              <w:numPr>
                <w:ilvl w:val="0"/>
                <w:numId w:val="12"/>
              </w:numPr>
              <w:adjustRightInd w:val="0"/>
              <w:snapToGrid w:val="0"/>
              <w:ind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针对新建北路、英雄南路，总计6.2km路段落实慢行专项指标控制要求，确保非机动车有足够的空间通行，完成机非隔离设施的设计和建设；</w:t>
            </w:r>
          </w:p>
          <w:p>
            <w:pPr>
              <w:widowControl/>
              <w:numPr>
                <w:ilvl w:val="0"/>
                <w:numId w:val="12"/>
              </w:numPr>
              <w:adjustRightInd w:val="0"/>
              <w:snapToGrid w:val="0"/>
              <w:ind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开展相关设计，完善道路绿化，美化道路环境，提升城市形象。</w:t>
            </w:r>
          </w:p>
        </w:tc>
        <w:tc>
          <w:tcPr>
            <w:tcW w:w="788" w:type="dxa"/>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远期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1420" w:type="dxa"/>
            <w:vAlign w:val="center"/>
          </w:tcPr>
          <w:p>
            <w:pPr>
              <w:widowControl/>
              <w:adjustRightInd w:val="0"/>
              <w:snapToGrid w:val="0"/>
              <w:ind w:firstLine="0"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断头路项目慢行设施改造项目</w:t>
            </w:r>
          </w:p>
        </w:tc>
        <w:tc>
          <w:tcPr>
            <w:tcW w:w="6088" w:type="dxa"/>
            <w:vAlign w:val="center"/>
          </w:tcPr>
          <w:p>
            <w:pPr>
              <w:widowControl/>
              <w:numPr>
                <w:ilvl w:val="0"/>
                <w:numId w:val="13"/>
              </w:numPr>
              <w:adjustRightInd w:val="0"/>
              <w:snapToGrid w:val="0"/>
              <w:ind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府后东街、和谐南路、苗岭街、民和巷、民安东巷等随断头路项目同步开展，落实慢行导则指标要求。</w:t>
            </w:r>
          </w:p>
        </w:tc>
        <w:tc>
          <w:tcPr>
            <w:tcW w:w="788" w:type="dxa"/>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远期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1420" w:type="dxa"/>
            <w:vAlign w:val="center"/>
          </w:tcPr>
          <w:p>
            <w:pPr>
              <w:widowControl/>
              <w:adjustRightInd w:val="0"/>
              <w:snapToGrid w:val="0"/>
              <w:ind w:firstLine="0"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特色骑行廊道彩色铺装项目</w:t>
            </w:r>
          </w:p>
        </w:tc>
        <w:tc>
          <w:tcPr>
            <w:tcW w:w="6088" w:type="dxa"/>
            <w:vAlign w:val="center"/>
          </w:tcPr>
          <w:p>
            <w:pPr>
              <w:widowControl/>
              <w:numPr>
                <w:ilvl w:val="0"/>
                <w:numId w:val="14"/>
              </w:numPr>
              <w:adjustRightInd w:val="0"/>
              <w:snapToGrid w:val="0"/>
              <w:ind w:firstLineChars="0"/>
              <w:jc w:val="left"/>
              <w:rPr>
                <w:rFonts w:hint="eastAsia" w:ascii="宋体" w:hAnsi="宋体" w:eastAsia="宋体" w:cs="宋体"/>
                <w:bCs/>
                <w:kern w:val="0"/>
                <w:sz w:val="20"/>
                <w:szCs w:val="20"/>
              </w:rPr>
            </w:pPr>
            <w:r>
              <w:rPr>
                <w:rFonts w:hint="eastAsia" w:ascii="宋体" w:hAnsi="宋体" w:eastAsia="宋体" w:cs="宋体"/>
                <w:bCs/>
                <w:kern w:val="0"/>
                <w:sz w:val="20"/>
                <w:szCs w:val="20"/>
              </w:rPr>
              <w:t>植入上党文化特色，打造文化、休闲、历史、生活4类主题铺装骑行网络，在骑行廊道的铺装设计中融入上党地区的文化元素，如历史建筑、传统图案、民俗艺术等，打造具有地域特色的骑行道路。</w:t>
            </w:r>
          </w:p>
        </w:tc>
        <w:tc>
          <w:tcPr>
            <w:tcW w:w="788" w:type="dxa"/>
            <w:vAlign w:val="center"/>
          </w:tcPr>
          <w:p>
            <w:pPr>
              <w:widowControl/>
              <w:adjustRightInd w:val="0"/>
              <w:snapToGrid w:val="0"/>
              <w:ind w:firstLine="0" w:firstLineChars="0"/>
              <w:jc w:val="center"/>
              <w:rPr>
                <w:rFonts w:hint="eastAsia" w:ascii="宋体" w:hAnsi="宋体" w:eastAsia="宋体" w:cs="宋体"/>
                <w:bCs/>
                <w:kern w:val="0"/>
                <w:sz w:val="20"/>
                <w:szCs w:val="20"/>
              </w:rPr>
            </w:pPr>
            <w:r>
              <w:rPr>
                <w:rFonts w:hint="eastAsia" w:ascii="宋体" w:hAnsi="宋体" w:eastAsia="宋体" w:cs="宋体"/>
                <w:bCs/>
                <w:kern w:val="0"/>
                <w:sz w:val="20"/>
                <w:szCs w:val="20"/>
              </w:rPr>
              <w:t>远期</w:t>
            </w:r>
          </w:p>
        </w:tc>
      </w:tr>
      <w:bookmarkEnd w:id="0"/>
    </w:tbl>
    <w:p>
      <w:pPr>
        <w:ind w:firstLine="0" w:firstLineChars="0"/>
        <w:rPr>
          <w:rFonts w:ascii="Times New Roman" w:hAnsi="Times New Roman" w:cs="Times New Roma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Ligh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62B43"/>
    <w:multiLevelType w:val="multilevel"/>
    <w:tmpl w:val="05762B4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93024F3"/>
    <w:multiLevelType w:val="multilevel"/>
    <w:tmpl w:val="093024F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1880BF9"/>
    <w:multiLevelType w:val="multilevel"/>
    <w:tmpl w:val="21880BF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9A31AF2"/>
    <w:multiLevelType w:val="multilevel"/>
    <w:tmpl w:val="29A31AF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F906A8D"/>
    <w:multiLevelType w:val="multilevel"/>
    <w:tmpl w:val="2F906A8D"/>
    <w:lvl w:ilvl="0" w:tentative="0">
      <w:start w:val="1"/>
      <w:numFmt w:val="decimal"/>
      <w:pStyle w:val="3"/>
      <w:lvlText w:val="%1."/>
      <w:lvlJc w:val="left"/>
      <w:pPr>
        <w:ind w:left="1155" w:hanging="735"/>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36800BF5"/>
    <w:multiLevelType w:val="multilevel"/>
    <w:tmpl w:val="36800BF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46F733C3"/>
    <w:multiLevelType w:val="multilevel"/>
    <w:tmpl w:val="46F733C3"/>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48CD36AB"/>
    <w:multiLevelType w:val="multilevel"/>
    <w:tmpl w:val="48CD36A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53650D6C"/>
    <w:multiLevelType w:val="multilevel"/>
    <w:tmpl w:val="53650D6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41670D2"/>
    <w:multiLevelType w:val="multilevel"/>
    <w:tmpl w:val="641670D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4694C64"/>
    <w:multiLevelType w:val="multilevel"/>
    <w:tmpl w:val="64694C6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5E85337"/>
    <w:multiLevelType w:val="multilevel"/>
    <w:tmpl w:val="65E8533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688B6936"/>
    <w:multiLevelType w:val="multilevel"/>
    <w:tmpl w:val="688B693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6B6C4D1B"/>
    <w:multiLevelType w:val="multilevel"/>
    <w:tmpl w:val="6B6C4D1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0"/>
  </w:num>
  <w:num w:numId="3">
    <w:abstractNumId w:val="1"/>
  </w:num>
  <w:num w:numId="4">
    <w:abstractNumId w:val="12"/>
  </w:num>
  <w:num w:numId="5">
    <w:abstractNumId w:val="13"/>
  </w:num>
  <w:num w:numId="6">
    <w:abstractNumId w:val="8"/>
  </w:num>
  <w:num w:numId="7">
    <w:abstractNumId w:val="10"/>
  </w:num>
  <w:num w:numId="8">
    <w:abstractNumId w:val="11"/>
  </w:num>
  <w:num w:numId="9">
    <w:abstractNumId w:val="5"/>
  </w:num>
  <w:num w:numId="10">
    <w:abstractNumId w:val="9"/>
  </w:num>
  <w:num w:numId="11">
    <w:abstractNumId w:val="2"/>
  </w:num>
  <w:num w:numId="12">
    <w:abstractNumId w:val="6"/>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lN2U3YTg0ZjM0YTllYzVmNTk4NTg0MTBmMWVlNDIifQ=="/>
    <w:docVar w:name="KSO_WPS_MARK_KEY" w:val="c83b06c7-a376-46dd-84d4-46df681c36c2"/>
  </w:docVars>
  <w:rsids>
    <w:rsidRoot w:val="00DE406D"/>
    <w:rsid w:val="0000304C"/>
    <w:rsid w:val="00006250"/>
    <w:rsid w:val="00025394"/>
    <w:rsid w:val="00026B44"/>
    <w:rsid w:val="00034F80"/>
    <w:rsid w:val="000742DB"/>
    <w:rsid w:val="000B5252"/>
    <w:rsid w:val="000C0B50"/>
    <w:rsid w:val="000C1A64"/>
    <w:rsid w:val="000D51C9"/>
    <w:rsid w:val="000E5E80"/>
    <w:rsid w:val="001003C8"/>
    <w:rsid w:val="00105724"/>
    <w:rsid w:val="00120928"/>
    <w:rsid w:val="00171213"/>
    <w:rsid w:val="001800AA"/>
    <w:rsid w:val="00182A6D"/>
    <w:rsid w:val="001A1840"/>
    <w:rsid w:val="001A2FC8"/>
    <w:rsid w:val="001D2F36"/>
    <w:rsid w:val="001D4809"/>
    <w:rsid w:val="001E03C8"/>
    <w:rsid w:val="00224763"/>
    <w:rsid w:val="002744B8"/>
    <w:rsid w:val="002825DA"/>
    <w:rsid w:val="00283B4A"/>
    <w:rsid w:val="002848B1"/>
    <w:rsid w:val="002A3A96"/>
    <w:rsid w:val="002C11FD"/>
    <w:rsid w:val="002E3075"/>
    <w:rsid w:val="002E32CA"/>
    <w:rsid w:val="0031466D"/>
    <w:rsid w:val="00333E11"/>
    <w:rsid w:val="00334948"/>
    <w:rsid w:val="00367DE2"/>
    <w:rsid w:val="003700AD"/>
    <w:rsid w:val="00375FA4"/>
    <w:rsid w:val="00377A41"/>
    <w:rsid w:val="003815D8"/>
    <w:rsid w:val="003922FD"/>
    <w:rsid w:val="003968DC"/>
    <w:rsid w:val="00425096"/>
    <w:rsid w:val="00442AC3"/>
    <w:rsid w:val="004517E9"/>
    <w:rsid w:val="00474DF8"/>
    <w:rsid w:val="004B08CE"/>
    <w:rsid w:val="00584CD9"/>
    <w:rsid w:val="00592149"/>
    <w:rsid w:val="005C00A1"/>
    <w:rsid w:val="005D23F0"/>
    <w:rsid w:val="005D7D0A"/>
    <w:rsid w:val="006154CA"/>
    <w:rsid w:val="00640DBB"/>
    <w:rsid w:val="00642133"/>
    <w:rsid w:val="006A5228"/>
    <w:rsid w:val="006D32EB"/>
    <w:rsid w:val="006E1321"/>
    <w:rsid w:val="007055DF"/>
    <w:rsid w:val="00715F1F"/>
    <w:rsid w:val="007768E1"/>
    <w:rsid w:val="007A3F45"/>
    <w:rsid w:val="007C79BE"/>
    <w:rsid w:val="00812516"/>
    <w:rsid w:val="0084122F"/>
    <w:rsid w:val="00844B6D"/>
    <w:rsid w:val="00863793"/>
    <w:rsid w:val="00863A07"/>
    <w:rsid w:val="008815B2"/>
    <w:rsid w:val="0088782E"/>
    <w:rsid w:val="0089553B"/>
    <w:rsid w:val="00895B14"/>
    <w:rsid w:val="008C2895"/>
    <w:rsid w:val="00910F7F"/>
    <w:rsid w:val="009367E9"/>
    <w:rsid w:val="00960288"/>
    <w:rsid w:val="009836BD"/>
    <w:rsid w:val="009D0F7F"/>
    <w:rsid w:val="009E17F1"/>
    <w:rsid w:val="009E6C01"/>
    <w:rsid w:val="00A03158"/>
    <w:rsid w:val="00A46AE4"/>
    <w:rsid w:val="00A57BF2"/>
    <w:rsid w:val="00A6118C"/>
    <w:rsid w:val="00A84977"/>
    <w:rsid w:val="00A95C49"/>
    <w:rsid w:val="00AA27CB"/>
    <w:rsid w:val="00AA43C8"/>
    <w:rsid w:val="00AB1DBA"/>
    <w:rsid w:val="00AB3017"/>
    <w:rsid w:val="00AC4536"/>
    <w:rsid w:val="00AC6F94"/>
    <w:rsid w:val="00B10BA5"/>
    <w:rsid w:val="00B50C66"/>
    <w:rsid w:val="00B7405C"/>
    <w:rsid w:val="00C07139"/>
    <w:rsid w:val="00C611EC"/>
    <w:rsid w:val="00C77CD1"/>
    <w:rsid w:val="00C80B61"/>
    <w:rsid w:val="00CA2D19"/>
    <w:rsid w:val="00CA5B49"/>
    <w:rsid w:val="00CB1C05"/>
    <w:rsid w:val="00CF096F"/>
    <w:rsid w:val="00CF59AB"/>
    <w:rsid w:val="00D10D8C"/>
    <w:rsid w:val="00D2308B"/>
    <w:rsid w:val="00D463B0"/>
    <w:rsid w:val="00D655C4"/>
    <w:rsid w:val="00D81F60"/>
    <w:rsid w:val="00D91393"/>
    <w:rsid w:val="00D9470D"/>
    <w:rsid w:val="00DE406D"/>
    <w:rsid w:val="00DE5E04"/>
    <w:rsid w:val="00E1663C"/>
    <w:rsid w:val="00E35109"/>
    <w:rsid w:val="00EA6EE4"/>
    <w:rsid w:val="00EB301B"/>
    <w:rsid w:val="00ED5CA6"/>
    <w:rsid w:val="00EF7335"/>
    <w:rsid w:val="00F11BF1"/>
    <w:rsid w:val="00F12244"/>
    <w:rsid w:val="00F200EB"/>
    <w:rsid w:val="00F4152D"/>
    <w:rsid w:val="00F53DF8"/>
    <w:rsid w:val="00F75D9F"/>
    <w:rsid w:val="00F9322E"/>
    <w:rsid w:val="00FA7970"/>
    <w:rsid w:val="00FD20A0"/>
    <w:rsid w:val="00FE0AD1"/>
    <w:rsid w:val="2FE30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styleId="2">
    <w:name w:val="heading 1"/>
    <w:next w:val="1"/>
    <w:link w:val="16"/>
    <w:qFormat/>
    <w:uiPriority w:val="0"/>
    <w:pPr>
      <w:keepNext/>
      <w:keepLines/>
      <w:spacing w:before="340" w:after="330" w:line="578" w:lineRule="auto"/>
      <w:jc w:val="center"/>
      <w:outlineLvl w:val="0"/>
    </w:pPr>
    <w:rPr>
      <w:rFonts w:eastAsia="方正小标宋_GBK" w:asciiTheme="minorHAnsi" w:hAnsiTheme="minorHAnsi" w:cstheme="minorBidi"/>
      <w:bCs/>
      <w:kern w:val="44"/>
      <w:sz w:val="36"/>
      <w:szCs w:val="44"/>
      <w:lang w:val="zh-CN" w:eastAsia="zh-CN" w:bidi="ar-SA"/>
    </w:rPr>
  </w:style>
  <w:style w:type="paragraph" w:styleId="3">
    <w:name w:val="heading 3"/>
    <w:next w:val="1"/>
    <w:link w:val="17"/>
    <w:qFormat/>
    <w:uiPriority w:val="0"/>
    <w:pPr>
      <w:keepNext/>
      <w:keepLines/>
      <w:numPr>
        <w:ilvl w:val="0"/>
        <w:numId w:val="1"/>
      </w:numPr>
      <w:snapToGrid w:val="0"/>
      <w:spacing w:before="156" w:beforeLines="50" w:after="156" w:afterLines="50" w:line="560" w:lineRule="exact"/>
      <w:outlineLvl w:val="2"/>
    </w:pPr>
    <w:rPr>
      <w:rFonts w:ascii="黑体" w:hAnsi="黑体" w:eastAsia="楷体" w:cs="Times New Roman"/>
      <w:b/>
      <w:bCs/>
      <w:kern w:val="0"/>
      <w:sz w:val="32"/>
      <w:szCs w:val="20"/>
      <w:lang w:val="zh-CN" w:eastAsia="zh-CN" w:bidi="ar-SA"/>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18"/>
    <w:semiHidden/>
    <w:unhideWhenUsed/>
    <w:uiPriority w:val="99"/>
    <w:pPr>
      <w:jc w:val="left"/>
    </w:p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ind w:firstLine="198" w:firstLineChars="55"/>
    </w:pPr>
  </w:style>
  <w:style w:type="paragraph" w:styleId="9">
    <w:name w:val="annotation subject"/>
    <w:basedOn w:val="5"/>
    <w:next w:val="5"/>
    <w:link w:val="19"/>
    <w:semiHidden/>
    <w:unhideWhenUsed/>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uiPriority w:val="99"/>
    <w:rPr>
      <w:color w:val="0563C1"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paragraph" w:styleId="15">
    <w:name w:val="List Paragraph"/>
    <w:basedOn w:val="1"/>
    <w:qFormat/>
    <w:uiPriority w:val="34"/>
    <w:pPr>
      <w:ind w:firstLine="420"/>
    </w:pPr>
  </w:style>
  <w:style w:type="character" w:customStyle="1" w:styleId="16">
    <w:name w:val="标题 1 字符"/>
    <w:basedOn w:val="12"/>
    <w:link w:val="2"/>
    <w:qFormat/>
    <w:uiPriority w:val="0"/>
    <w:rPr>
      <w:rFonts w:eastAsia="方正小标宋_GBK"/>
      <w:bCs/>
      <w:kern w:val="44"/>
      <w:sz w:val="36"/>
      <w:szCs w:val="44"/>
      <w:lang w:val="zh-CN"/>
    </w:rPr>
  </w:style>
  <w:style w:type="character" w:customStyle="1" w:styleId="17">
    <w:name w:val="标题 3 字符"/>
    <w:basedOn w:val="12"/>
    <w:link w:val="3"/>
    <w:qFormat/>
    <w:uiPriority w:val="0"/>
    <w:rPr>
      <w:rFonts w:ascii="黑体" w:hAnsi="黑体" w:eastAsia="楷体" w:cs="Times New Roman"/>
      <w:b/>
      <w:bCs/>
      <w:kern w:val="0"/>
      <w:sz w:val="32"/>
      <w:szCs w:val="20"/>
      <w:lang w:val="zh-CN"/>
    </w:rPr>
  </w:style>
  <w:style w:type="character" w:customStyle="1" w:styleId="18">
    <w:name w:val="批注文字 字符"/>
    <w:basedOn w:val="12"/>
    <w:link w:val="5"/>
    <w:semiHidden/>
    <w:qFormat/>
    <w:uiPriority w:val="99"/>
  </w:style>
  <w:style w:type="character" w:customStyle="1" w:styleId="19">
    <w:name w:val="批注主题 字符"/>
    <w:basedOn w:val="18"/>
    <w:link w:val="9"/>
    <w:semiHidden/>
    <w:qFormat/>
    <w:uiPriority w:val="99"/>
    <w:rPr>
      <w:b/>
      <w:bCs/>
    </w:rPr>
  </w:style>
  <w:style w:type="character" w:customStyle="1" w:styleId="20">
    <w:name w:val="页眉 字符"/>
    <w:basedOn w:val="12"/>
    <w:link w:val="7"/>
    <w:qFormat/>
    <w:uiPriority w:val="99"/>
    <w:rPr>
      <w:rFonts w:eastAsia="仿宋_GB2312"/>
      <w:sz w:val="18"/>
      <w:szCs w:val="18"/>
    </w:rPr>
  </w:style>
  <w:style w:type="character" w:customStyle="1" w:styleId="21">
    <w:name w:val="页脚 字符"/>
    <w:basedOn w:val="12"/>
    <w:link w:val="6"/>
    <w:qFormat/>
    <w:uiPriority w:val="99"/>
    <w:rPr>
      <w:rFonts w:eastAsia="仿宋_GB2312"/>
      <w:sz w:val="18"/>
      <w:szCs w:val="18"/>
    </w:rPr>
  </w:style>
  <w:style w:type="table" w:customStyle="1" w:styleId="22">
    <w:name w:val="网格型3"/>
    <w:basedOn w:val="10"/>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
    <w:name w:val="网格型31"/>
    <w:basedOn w:val="10"/>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4">
    <w:name w:val="网格型32"/>
    <w:basedOn w:val="1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6EBB-6ED4-4FCF-9094-F9ECA7AE313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5236</Words>
  <Characters>5522</Characters>
  <Lines>41</Lines>
  <Paragraphs>11</Paragraphs>
  <TotalTime>2</TotalTime>
  <ScaleCrop>false</ScaleCrop>
  <LinksUpToDate>false</LinksUpToDate>
  <CharactersWithSpaces>5548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2024-11-26T10:12:00Z</dcterms:created>
  <dc:creator>佟鹏</dc:creator>
  <cp:lastModifiedBy>逸</cp:lastModifiedBy>
  <dcterms:modified xsi:type="dcterms:W3CDTF">2024-12-02T03:42:33Z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ACB261972E4F4A7B806D62E0A60F01D0</vt:lpwstr>
  </property>
</Properties>
</file>