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长治市上党区自然资源局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关于下发“不动产登记业务会商制度”的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各股、所、事业单位：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为进一步优化营商环境，提升不动产登记效能，切实解决不动产“登记难”相关问题，现将《不动产登记业务会商制度》下发给你们，请遵照执行。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2" w:firstLineChars="1404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长治市上党区自然资源局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2025年3月4日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不动产登记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业务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会商制度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第一条 目的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为规范不动产登记中复杂类型问题的处理，提高登记效率，保障登记质量，维护权利人合法权益，特制定本制度。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第二条 适用范围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本制度适用于不动产登记过程中遇到的以下复杂类型问题：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权属来源不清或存在争议的；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2. 涉及历史遗留问题的；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法律法规未明确规定或适用存在争议的；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其他需要会商的复杂情形。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第三条 基本原则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依法依规：严格遵守相关法律法规和政策规定。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高效便民：确保会商程序简便高效，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提高办事效率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 公开透明：会商过程及结果应公开透明，接受监督。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协作配合：各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股室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应加强沟通协作，形成合力。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第四条 会商主体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会商由不动产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牵头，相关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职能股室参与。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第五条 职责分工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1. 不动产登记机构：负责会商的组织、协调及结果落实。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股室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：根据职责提供专业意见，协助解决问题。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第六条 会商启动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不动产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在受理或审核过程中发现复杂问题，认为需要会商的，应提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交局务会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会商申请应明确问题背景、争议焦点及初步处理意见。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条 会商决议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会商会议应形成书面决议，明确处理意见及依据。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第九条 结果落实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不动产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登记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应根据会商决议办理登记手续。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02C6E"/>
    <w:rsid w:val="17C02C6E"/>
    <w:rsid w:val="1EB93C41"/>
    <w:rsid w:val="DD7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2025-03-08T01:24:00Z</dcterms:created>
  <dc:creator>十三</dc:creator>
  <cp:lastModifiedBy>zrzy</cp:lastModifiedBy>
  <cp:lastPrinted>2025-03-10T09:24:57Z</cp:lastPrinted>
  <dcterms:modified xsi:type="dcterms:W3CDTF">2025-03-10T09:34:30Z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013292960CCA4282A360797DDA89DE6B_11</vt:lpwstr>
  </property>
  <property fmtid="{D5CDD505-2E9C-101B-9397-08002B2CF9AE}" pid="4" name="KSOTemplateDocerSaveRecord">
    <vt:lpwstr>eyJoZGlkIjoiZDA2ODlmOGI1NTE0MmJiYjQ5OTcwNWU2ZjFhNjRlMzEiLCJ1c2VySWQiOiI2MDUzNjI3ODMifQ==</vt:lpwstr>
  </property>
</Properties>
</file>