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603E2">
      <w:pPr>
        <w:jc w:val="center"/>
        <w:rPr>
          <w:rFonts w:hint="eastAsia" w:ascii="黑体" w:hAnsi="黑体" w:eastAsia="黑体" w:cs="黑体"/>
          <w:sz w:val="44"/>
          <w:szCs w:val="44"/>
          <w:lang w:val="en-US" w:eastAsia="zh-CN"/>
        </w:rPr>
      </w:pPr>
    </w:p>
    <w:p w14:paraId="290E998A">
      <w:pPr>
        <w:jc w:val="center"/>
        <w:rPr>
          <w:rFonts w:hint="eastAsia" w:ascii="黑体" w:hAnsi="黑体" w:eastAsia="黑体" w:cs="黑体"/>
          <w:sz w:val="44"/>
          <w:szCs w:val="44"/>
          <w:lang w:val="en-US" w:eastAsia="zh-CN"/>
        </w:rPr>
      </w:pPr>
    </w:p>
    <w:p w14:paraId="28632FCA">
      <w:pPr>
        <w:jc w:val="center"/>
        <w:rPr>
          <w:rFonts w:hint="eastAsia" w:ascii="黑体" w:hAnsi="黑体" w:eastAsia="黑体" w:cs="黑体"/>
          <w:sz w:val="44"/>
          <w:szCs w:val="44"/>
          <w:lang w:val="en-US" w:eastAsia="zh-CN"/>
        </w:rPr>
      </w:pPr>
    </w:p>
    <w:p w14:paraId="2BCFC8B4">
      <w:pPr>
        <w:jc w:val="center"/>
        <w:rPr>
          <w:rFonts w:hint="eastAsia" w:ascii="黑体" w:hAnsi="黑体" w:eastAsia="黑体" w:cs="黑体"/>
          <w:sz w:val="44"/>
          <w:szCs w:val="44"/>
          <w:lang w:val="en-US" w:eastAsia="zh-CN"/>
        </w:rPr>
      </w:pPr>
    </w:p>
    <w:p w14:paraId="45460F89">
      <w:pPr>
        <w:jc w:val="center"/>
        <w:rPr>
          <w:rFonts w:hint="eastAsia" w:ascii="黑体" w:hAnsi="黑体" w:eastAsia="黑体" w:cs="黑体"/>
          <w:sz w:val="44"/>
          <w:szCs w:val="44"/>
          <w:lang w:val="en-US" w:eastAsia="zh-CN"/>
        </w:rPr>
      </w:pPr>
    </w:p>
    <w:p w14:paraId="53A92480">
      <w:pPr>
        <w:jc w:val="both"/>
        <w:rPr>
          <w:rFonts w:hint="eastAsia" w:ascii="黑体" w:hAnsi="黑体" w:eastAsia="黑体" w:cs="黑体"/>
          <w:sz w:val="44"/>
          <w:szCs w:val="44"/>
          <w:lang w:val="en-US" w:eastAsia="zh-CN"/>
        </w:rPr>
      </w:pPr>
    </w:p>
    <w:p w14:paraId="56B355B1">
      <w:pPr>
        <w:jc w:val="center"/>
        <w:rPr>
          <w:rFonts w:hint="default" w:ascii="楷体" w:hAnsi="楷体" w:eastAsia="楷体" w:cs="楷体"/>
          <w:sz w:val="32"/>
          <w:szCs w:val="32"/>
          <w:lang w:val="en-US" w:eastAsia="zh-CN"/>
        </w:rPr>
      </w:pPr>
      <w:r>
        <w:rPr>
          <w:rFonts w:hint="eastAsia" w:ascii="仿宋" w:hAnsi="仿宋" w:eastAsia="仿宋" w:cs="仿宋"/>
          <w:sz w:val="32"/>
          <w:szCs w:val="32"/>
          <w:lang w:val="en-US" w:eastAsia="zh-CN"/>
        </w:rPr>
        <w:t>长上自然资发〔2024〕217号             签发人：李富强</w:t>
      </w:r>
    </w:p>
    <w:p w14:paraId="2E8481FE">
      <w:pPr>
        <w:jc w:val="center"/>
        <w:rPr>
          <w:rFonts w:hint="eastAsia" w:ascii="黑体" w:hAnsi="黑体" w:eastAsia="黑体" w:cs="黑体"/>
          <w:sz w:val="44"/>
          <w:szCs w:val="44"/>
          <w:lang w:val="en-US" w:eastAsia="zh-CN"/>
        </w:rPr>
      </w:pPr>
    </w:p>
    <w:p w14:paraId="4EC1CB01">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长治市上党区自然资源局</w:t>
      </w:r>
    </w:p>
    <w:p w14:paraId="6535CA0B">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关于印发《全区建设工程消防审验问题专项整治工作方案》的通知</w:t>
      </w:r>
    </w:p>
    <w:p w14:paraId="63811B3B">
      <w:pPr>
        <w:rPr>
          <w:rFonts w:hint="eastAsia" w:ascii="仿宋" w:hAnsi="仿宋" w:eastAsia="仿宋" w:cs="仿宋"/>
          <w:sz w:val="32"/>
          <w:szCs w:val="32"/>
          <w:lang w:val="en-US" w:eastAsia="zh-CN"/>
        </w:rPr>
      </w:pPr>
    </w:p>
    <w:p w14:paraId="6D0BE258">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局各股室、各自然资源所：</w:t>
      </w:r>
    </w:p>
    <w:p w14:paraId="1A8A74C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顺利推进全区建设工程消防审验问题专项整治工作，根据《山西省安全生产委员会办公室关于印发〈全省建设工程消防审验问题专项整治分类处置措施〉的通知》，结合我局工作职责，特制定《全区建设工程消防审验问题专项整治工作方案》，现印发给你们，请贯彻落实。</w:t>
      </w:r>
    </w:p>
    <w:p w14:paraId="705118F4">
      <w:pPr>
        <w:rPr>
          <w:rFonts w:hint="eastAsia" w:ascii="仿宋" w:hAnsi="仿宋" w:eastAsia="仿宋" w:cs="仿宋"/>
          <w:sz w:val="32"/>
          <w:szCs w:val="32"/>
          <w:lang w:val="en-US" w:eastAsia="zh-CN"/>
        </w:rPr>
      </w:pPr>
    </w:p>
    <w:p w14:paraId="11B3F676">
      <w:pPr>
        <w:numPr>
          <w:ilvl w:val="0"/>
          <w:numId w:val="0"/>
        </w:numPr>
        <w:ind w:leftChars="200"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长治市上党区自然资源局</w:t>
      </w:r>
    </w:p>
    <w:p w14:paraId="467F52E2">
      <w:pPr>
        <w:numPr>
          <w:ilvl w:val="0"/>
          <w:numId w:val="0"/>
        </w:numPr>
        <w:ind w:firstLine="5120" w:firstLineChars="1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2024年8月16日</w:t>
      </w:r>
    </w:p>
    <w:p w14:paraId="40636D62">
      <w:pPr>
        <w:rPr>
          <w:rFonts w:hint="eastAsia" w:ascii="仿宋" w:hAnsi="仿宋" w:eastAsia="仿宋" w:cs="仿宋"/>
          <w:sz w:val="32"/>
          <w:szCs w:val="32"/>
          <w:lang w:val="en-US" w:eastAsia="zh-CN"/>
        </w:rPr>
      </w:pPr>
    </w:p>
    <w:p w14:paraId="1E9B2701">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全区建设工程消防审验问题专项整治</w:t>
      </w:r>
    </w:p>
    <w:p w14:paraId="4EA8EBBE">
      <w:pPr>
        <w:jc w:val="center"/>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工作方案</w:t>
      </w:r>
    </w:p>
    <w:p w14:paraId="2EA6AE2E">
      <w:pPr>
        <w:rPr>
          <w:rFonts w:hint="eastAsia" w:ascii="仿宋" w:hAnsi="仿宋" w:eastAsia="仿宋" w:cs="仿宋"/>
          <w:sz w:val="32"/>
          <w:szCs w:val="32"/>
          <w:lang w:val="en-US" w:eastAsia="zh-CN"/>
        </w:rPr>
      </w:pPr>
    </w:p>
    <w:p w14:paraId="5355F58B">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顺利推进全区建设工程消防审验问题专项整治工作，根据《山西省安全生产委员会办公室关于印发〈全省建设工程消防审验问题专项整治分类处置措施〉的通知》，结合自然资源部门工作职责，特制定本工作方案。</w:t>
      </w:r>
    </w:p>
    <w:p w14:paraId="2868A300">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工作职责</w:t>
      </w:r>
    </w:p>
    <w:p w14:paraId="65DB8E93">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对纳入本次专项整治范围的无土地手续、无建设工程规划许可手续的建设工程，经有关部门认定符合建筑质量安全要求可暂予保留的，依法依规处罚后，符合国土空间规划的按规定补办土地和规划许可手续。负责督促本行业本 系统纳入专项整治的建设工程积极申报消防审验并加快整改。</w:t>
      </w:r>
    </w:p>
    <w:p w14:paraId="2570E504">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工作范围</w:t>
      </w:r>
    </w:p>
    <w:p w14:paraId="09F539A2">
      <w:pPr>
        <w:numPr>
          <w:ilvl w:val="0"/>
          <w:numId w:val="0"/>
        </w:num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纳入本次专项整治范围的无土地手续、无建设工程规划许可手续的建设工程。</w:t>
      </w:r>
    </w:p>
    <w:p w14:paraId="24F39FD3">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三、工作内容</w:t>
      </w:r>
    </w:p>
    <w:p w14:paraId="16C8966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（一）对经有关部门认定符合建筑质量安全要求可暂予保留的建设工程逐一进行摸底排查；</w:t>
      </w:r>
    </w:p>
    <w:p w14:paraId="0DD13BC3">
      <w:pPr>
        <w:numPr>
          <w:ilvl w:val="0"/>
          <w:numId w:val="0"/>
        </w:num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对无土地手续、无建设工程规划许可手续的建设工程依法依规进行处罚，待机构改革工作完成后，及时将需进行处罚的建设工程清单移送至市城市管理综合行政执法队上党大队，由其依据工作职责完成处罚工作；</w:t>
      </w:r>
    </w:p>
    <w:p w14:paraId="20E57FAE">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（三）对符合国土空间规划的按规定补办土地和规划许可手续；</w:t>
      </w:r>
    </w:p>
    <w:p w14:paraId="7C3B6610">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（四）督促本行业本系统纳入专项整治的建设工程申报消防审验和整改。</w:t>
      </w:r>
    </w:p>
    <w:p w14:paraId="38EBD565">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四、工作步骤</w:t>
      </w:r>
    </w:p>
    <w:p w14:paraId="624C6A19">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（一）部门联动工作阶段</w:t>
      </w:r>
    </w:p>
    <w:p w14:paraId="1D27554E">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有关部门认定符合建筑质量安全要求可暂予保留的建设工程，及时将保留名单推送至我局。</w:t>
      </w:r>
    </w:p>
    <w:p w14:paraId="5C16D670">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（二）详细摸底调查阶段</w:t>
      </w:r>
    </w:p>
    <w:p w14:paraId="3AAFB22B">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接到有关部门的建设工程保留清单后，我局专项工作小组（以下简称工作小组）一日内按乡镇（街道）进行清单整理后，及时安排各自然资源所对本辖区内所涉及的建设工程深入现场进行逐一摸底，并填写摸底调查表（见附表1）和汇总表（见附表2），报乡镇（街道）政府审核后，各自然资源所盖章报送至我局工作小组。</w:t>
      </w:r>
    </w:p>
    <w:p w14:paraId="1E26CE6D">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（三）违法违规处罚阶段</w:t>
      </w:r>
    </w:p>
    <w:p w14:paraId="49926E54">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对于无土地手续、无建设工程规划许可手续的建设工程进行分类，按无土地手续、无建设工程规划许可手续及无土地和建设工程规划许可手续三类分别进行处罚。</w:t>
      </w:r>
    </w:p>
    <w:p w14:paraId="29F44AA7">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（四）核查符合规划阶段</w:t>
      </w:r>
    </w:p>
    <w:p w14:paraId="3C7147FB">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监察大队或</w:t>
      </w:r>
      <w:r>
        <w:rPr>
          <w:rFonts w:hint="eastAsia" w:ascii="仿宋" w:hAnsi="仿宋" w:eastAsia="仿宋" w:cs="仿宋"/>
          <w:color w:val="auto"/>
          <w:sz w:val="32"/>
          <w:szCs w:val="32"/>
          <w:highlight w:val="none"/>
          <w:lang w:val="en-US" w:eastAsia="zh-CN"/>
        </w:rPr>
        <w:t>市城市管理综合行政执法队上党大队</w:t>
      </w:r>
      <w:r>
        <w:rPr>
          <w:rFonts w:hint="eastAsia" w:ascii="仿宋" w:hAnsi="仿宋" w:eastAsia="仿宋" w:cs="仿宋"/>
          <w:sz w:val="32"/>
          <w:szCs w:val="32"/>
          <w:lang w:val="en-US" w:eastAsia="zh-CN"/>
        </w:rPr>
        <w:t>对于已完成处罚的建设工程及时推送至国土空间规划股，由国土空间规划股对其是否符合国土空间规划进行审查，并将规划符合情况推送至工作小组。工作小组将符合规划且建设单位积极配合的建设工程推送至用途管制股、储备中心、国土空间规划股，将不符合规划或符合规划但建设单位不配合完善相关手续的建设工程推送至区建设工程消防审验问题整治工作专班。</w:t>
      </w:r>
    </w:p>
    <w:p w14:paraId="7BDF3819">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（五）完善土地手续阶段</w:t>
      </w:r>
    </w:p>
    <w:p w14:paraId="5D33DA3B">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用途管制投接到工作小组推送的清单后，立即联合储备中心进行建设用地组件报批前期工作，待前期工作完成后及时进行组件报批，建设用地批复后，用途管制股将批复文件及矢量数据及时推动至利用股，由土地利用股完成土地供应工作。</w:t>
      </w:r>
    </w:p>
    <w:p w14:paraId="7A2D4EBB">
      <w:pPr>
        <w:numPr>
          <w:ilvl w:val="0"/>
          <w:numId w:val="0"/>
        </w:numPr>
        <w:ind w:left="640" w:left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（六）补办规划许可手续阶段</w:t>
      </w:r>
    </w:p>
    <w:p w14:paraId="698468CF">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国土空间规划股接到工作小组推送的清单后，立即组织建设单位进行现状实测，实测指标与规划指标不相符的及时启动规划调整工作。待建设用地供应后，及时补办规划许可手续。</w:t>
      </w:r>
    </w:p>
    <w:p w14:paraId="315499AC">
      <w:pPr>
        <w:numPr>
          <w:ilvl w:val="0"/>
          <w:numId w:val="2"/>
        </w:numPr>
        <w:ind w:leftChars="200"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工作要求 </w:t>
      </w:r>
    </w:p>
    <w:p w14:paraId="52CF95E5">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（一）提高政治站位，高度重视该项工作。听民意、办实事，一切要以群众利益为重点要切入点，充分认识实施该项工作的重要性，从思想上高度重视，切实做好该项工作，真正做到为群众办实事。</w:t>
      </w:r>
    </w:p>
    <w:p w14:paraId="652F4731">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加强组织领导，成立专项工作小组。为加强局内部股室协同合作，使该项工作顺畅推进，成立以李富强局长为组长，张晓飞副局长为副组长，监察大队、用途管制股、储备中心、土地利用股、交易中心、国土空间规划股、各自然资源所等股所负责人为成员的专项工作小组。</w:t>
      </w:r>
    </w:p>
    <w:p w14:paraId="1D35110F">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做好宣传工作，提高建设单位主动性。工作小组在收到符合国土空间规划的建设清单后，及时向建设单位和业主做好开展该工作的目的及工作流程等方面的宣传，使其充分认识到开展工作的重要性，从思想上重视、行动上配合，更好地完成该项工作。</w:t>
      </w:r>
    </w:p>
    <w:p w14:paraId="33298056">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加强股室协调，形成良好工作合力。该项工作不是某一股室的工作，而是需要全局各相关股室齐心协力、积极配合、共同完成的一项重要工作，各股室之间应加强沟通，做到信息共享、问题共解的良好工作机制，工作之间顺畅衔接、不卡顿，形成工作合力，又快又好地完成该项工作。</w:t>
      </w:r>
    </w:p>
    <w:p w14:paraId="451964E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附表：1.建设工程摸底调查表</w:t>
      </w:r>
    </w:p>
    <w:p w14:paraId="4005139E">
      <w:pPr>
        <w:numPr>
          <w:ilvl w:val="0"/>
          <w:numId w:val="0"/>
        </w:numPr>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2.建设工程摸底调查汇总表</w:t>
      </w:r>
    </w:p>
    <w:p w14:paraId="3BA271FE">
      <w:pPr>
        <w:numPr>
          <w:ilvl w:val="0"/>
          <w:numId w:val="0"/>
        </w:numPr>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3.专项工作进度表</w:t>
      </w:r>
    </w:p>
    <w:p w14:paraId="06FC3AE5">
      <w:pPr>
        <w:numPr>
          <w:ilvl w:val="0"/>
          <w:numId w:val="0"/>
        </w:numPr>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4.专项工作推送表</w:t>
      </w:r>
    </w:p>
    <w:p w14:paraId="757EA749">
      <w:pPr>
        <w:numPr>
          <w:ilvl w:val="0"/>
          <w:numId w:val="0"/>
        </w:numPr>
        <w:rPr>
          <w:rFonts w:hint="default" w:ascii="仿宋" w:hAnsi="仿宋" w:eastAsia="仿宋" w:cs="仿宋"/>
          <w:sz w:val="32"/>
          <w:szCs w:val="32"/>
          <w:lang w:val="en-US" w:eastAsia="zh-CN"/>
        </w:rPr>
      </w:pPr>
    </w:p>
    <w:p w14:paraId="4015C847">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w:t>
      </w:r>
    </w:p>
    <w:p w14:paraId="15F4AD8A">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CB8F342">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建设工程摸底调查表</w:t>
      </w:r>
    </w:p>
    <w:p w14:paraId="0DD7F3AA">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乡镇（街道）：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2025"/>
        <w:gridCol w:w="2019"/>
        <w:gridCol w:w="2020"/>
      </w:tblGrid>
      <w:tr w14:paraId="58DA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8" w:type="dxa"/>
            <w:vAlign w:val="center"/>
          </w:tcPr>
          <w:p w14:paraId="06398D93">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建设项目名称</w:t>
            </w:r>
          </w:p>
        </w:tc>
        <w:tc>
          <w:tcPr>
            <w:tcW w:w="6064" w:type="dxa"/>
            <w:gridSpan w:val="3"/>
            <w:vAlign w:val="center"/>
          </w:tcPr>
          <w:p w14:paraId="0F51EC80">
            <w:pPr>
              <w:numPr>
                <w:ilvl w:val="0"/>
                <w:numId w:val="0"/>
              </w:numPr>
              <w:jc w:val="center"/>
              <w:rPr>
                <w:rFonts w:hint="default" w:ascii="仿宋" w:hAnsi="仿宋" w:eastAsia="仿宋" w:cs="仿宋"/>
                <w:sz w:val="28"/>
                <w:szCs w:val="28"/>
                <w:vertAlign w:val="baseline"/>
                <w:lang w:val="en-US" w:eastAsia="zh-CN"/>
              </w:rPr>
            </w:pPr>
          </w:p>
        </w:tc>
      </w:tr>
      <w:tr w14:paraId="1886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8" w:type="dxa"/>
            <w:vAlign w:val="center"/>
          </w:tcPr>
          <w:p w14:paraId="36A8AABA">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建设地址</w:t>
            </w:r>
          </w:p>
        </w:tc>
        <w:tc>
          <w:tcPr>
            <w:tcW w:w="6064" w:type="dxa"/>
            <w:gridSpan w:val="3"/>
            <w:vAlign w:val="center"/>
          </w:tcPr>
          <w:p w14:paraId="29913846">
            <w:pPr>
              <w:numPr>
                <w:ilvl w:val="0"/>
                <w:numId w:val="0"/>
              </w:numPr>
              <w:jc w:val="center"/>
              <w:rPr>
                <w:rFonts w:hint="default" w:ascii="仿宋" w:hAnsi="仿宋" w:eastAsia="仿宋" w:cs="仿宋"/>
                <w:sz w:val="28"/>
                <w:szCs w:val="28"/>
                <w:vertAlign w:val="baseline"/>
                <w:lang w:val="en-US" w:eastAsia="zh-CN"/>
              </w:rPr>
            </w:pPr>
          </w:p>
        </w:tc>
      </w:tr>
      <w:tr w14:paraId="712F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8" w:type="dxa"/>
            <w:vAlign w:val="center"/>
          </w:tcPr>
          <w:p w14:paraId="64C7D03D">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建设单位</w:t>
            </w:r>
          </w:p>
        </w:tc>
        <w:tc>
          <w:tcPr>
            <w:tcW w:w="6064" w:type="dxa"/>
            <w:gridSpan w:val="3"/>
            <w:vAlign w:val="center"/>
          </w:tcPr>
          <w:p w14:paraId="2CD85DE5">
            <w:pPr>
              <w:numPr>
                <w:ilvl w:val="0"/>
                <w:numId w:val="0"/>
              </w:numPr>
              <w:jc w:val="center"/>
              <w:rPr>
                <w:rFonts w:hint="default" w:ascii="仿宋" w:hAnsi="仿宋" w:eastAsia="仿宋" w:cs="仿宋"/>
                <w:sz w:val="28"/>
                <w:szCs w:val="28"/>
                <w:vertAlign w:val="baseline"/>
                <w:lang w:val="en-US" w:eastAsia="zh-CN"/>
              </w:rPr>
            </w:pPr>
          </w:p>
        </w:tc>
      </w:tr>
      <w:tr w14:paraId="2130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8" w:type="dxa"/>
            <w:vAlign w:val="center"/>
          </w:tcPr>
          <w:p w14:paraId="6B432C3D">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联系人</w:t>
            </w:r>
          </w:p>
        </w:tc>
        <w:tc>
          <w:tcPr>
            <w:tcW w:w="2025" w:type="dxa"/>
            <w:vAlign w:val="center"/>
          </w:tcPr>
          <w:p w14:paraId="58CDEC55">
            <w:pPr>
              <w:numPr>
                <w:ilvl w:val="0"/>
                <w:numId w:val="0"/>
              </w:numPr>
              <w:jc w:val="center"/>
              <w:rPr>
                <w:rFonts w:hint="default" w:ascii="仿宋" w:hAnsi="仿宋" w:eastAsia="仿宋" w:cs="仿宋"/>
                <w:sz w:val="28"/>
                <w:szCs w:val="28"/>
                <w:vertAlign w:val="baseline"/>
                <w:lang w:val="en-US" w:eastAsia="zh-CN"/>
              </w:rPr>
            </w:pPr>
          </w:p>
        </w:tc>
        <w:tc>
          <w:tcPr>
            <w:tcW w:w="2019" w:type="dxa"/>
            <w:vAlign w:val="center"/>
          </w:tcPr>
          <w:p w14:paraId="13532773">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2020" w:type="dxa"/>
            <w:vAlign w:val="center"/>
          </w:tcPr>
          <w:p w14:paraId="121FF940">
            <w:pPr>
              <w:numPr>
                <w:ilvl w:val="0"/>
                <w:numId w:val="0"/>
              </w:numPr>
              <w:jc w:val="center"/>
              <w:rPr>
                <w:rFonts w:hint="default" w:ascii="仿宋" w:hAnsi="仿宋" w:eastAsia="仿宋" w:cs="仿宋"/>
                <w:sz w:val="28"/>
                <w:szCs w:val="28"/>
                <w:vertAlign w:val="baseline"/>
                <w:lang w:val="en-US" w:eastAsia="zh-CN"/>
              </w:rPr>
            </w:pPr>
          </w:p>
        </w:tc>
      </w:tr>
      <w:tr w14:paraId="4DB1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8" w:type="dxa"/>
            <w:vAlign w:val="center"/>
          </w:tcPr>
          <w:p w14:paraId="4B1F8967">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用地面积</w:t>
            </w:r>
          </w:p>
        </w:tc>
        <w:tc>
          <w:tcPr>
            <w:tcW w:w="2025" w:type="dxa"/>
            <w:vAlign w:val="center"/>
          </w:tcPr>
          <w:p w14:paraId="39496BC5">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亩</w:t>
            </w:r>
          </w:p>
        </w:tc>
        <w:tc>
          <w:tcPr>
            <w:tcW w:w="2019" w:type="dxa"/>
            <w:vAlign w:val="center"/>
          </w:tcPr>
          <w:p w14:paraId="0265403D">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建设规模 </w:t>
            </w:r>
          </w:p>
        </w:tc>
        <w:tc>
          <w:tcPr>
            <w:tcW w:w="2020" w:type="dxa"/>
            <w:vAlign w:val="center"/>
          </w:tcPr>
          <w:p w14:paraId="63893204">
            <w:pPr>
              <w:numPr>
                <w:ilvl w:val="0"/>
                <w:numId w:val="0"/>
              </w:numPr>
              <w:jc w:val="center"/>
              <w:rPr>
                <w:rFonts w:hint="default" w:ascii="仿宋" w:hAnsi="仿宋" w:eastAsia="仿宋" w:cs="仿宋"/>
                <w:sz w:val="28"/>
                <w:szCs w:val="28"/>
                <w:vertAlign w:val="baseline"/>
                <w:lang w:val="en-US" w:eastAsia="zh-CN"/>
              </w:rPr>
            </w:pPr>
            <w:r>
              <w:rPr>
                <w:rFonts w:hint="eastAsia" w:ascii="宋体" w:hAnsi="宋体" w:eastAsia="宋体" w:cs="宋体"/>
                <w:sz w:val="28"/>
                <w:szCs w:val="28"/>
                <w:vertAlign w:val="baseline"/>
                <w:lang w:val="en-US" w:eastAsia="zh-CN"/>
              </w:rPr>
              <w:t xml:space="preserve">         ㎡</w:t>
            </w:r>
          </w:p>
        </w:tc>
      </w:tr>
      <w:tr w14:paraId="1E45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8" w:type="dxa"/>
            <w:vAlign w:val="center"/>
          </w:tcPr>
          <w:p w14:paraId="5919ACEB">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建设楼栋数</w:t>
            </w:r>
          </w:p>
        </w:tc>
        <w:tc>
          <w:tcPr>
            <w:tcW w:w="6064" w:type="dxa"/>
            <w:gridSpan w:val="3"/>
            <w:vAlign w:val="center"/>
          </w:tcPr>
          <w:p w14:paraId="3044018F">
            <w:pPr>
              <w:numPr>
                <w:ilvl w:val="0"/>
                <w:numId w:val="0"/>
              </w:numPr>
              <w:jc w:val="center"/>
              <w:rPr>
                <w:rFonts w:hint="default" w:ascii="仿宋" w:hAnsi="仿宋" w:eastAsia="仿宋" w:cs="仿宋"/>
                <w:sz w:val="28"/>
                <w:szCs w:val="28"/>
                <w:vertAlign w:val="baseline"/>
                <w:lang w:val="en-US" w:eastAsia="zh-CN"/>
              </w:rPr>
            </w:pPr>
          </w:p>
        </w:tc>
      </w:tr>
      <w:tr w14:paraId="231B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8" w:type="dxa"/>
            <w:vAlign w:val="center"/>
          </w:tcPr>
          <w:p w14:paraId="36A21277">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户  数</w:t>
            </w:r>
          </w:p>
        </w:tc>
        <w:tc>
          <w:tcPr>
            <w:tcW w:w="2025" w:type="dxa"/>
            <w:vAlign w:val="center"/>
          </w:tcPr>
          <w:p w14:paraId="00707D5D">
            <w:pPr>
              <w:numPr>
                <w:ilvl w:val="0"/>
                <w:numId w:val="0"/>
              </w:numPr>
              <w:jc w:val="center"/>
              <w:rPr>
                <w:rFonts w:hint="default" w:ascii="仿宋" w:hAnsi="仿宋" w:eastAsia="仿宋" w:cs="仿宋"/>
                <w:sz w:val="28"/>
                <w:szCs w:val="28"/>
                <w:vertAlign w:val="baseline"/>
                <w:lang w:val="en-US" w:eastAsia="zh-CN"/>
              </w:rPr>
            </w:pPr>
          </w:p>
        </w:tc>
        <w:tc>
          <w:tcPr>
            <w:tcW w:w="2019" w:type="dxa"/>
            <w:vAlign w:val="center"/>
          </w:tcPr>
          <w:p w14:paraId="051B18A4">
            <w:pPr>
              <w:numPr>
                <w:ilvl w:val="0"/>
                <w:numId w:val="0"/>
              </w:numPr>
              <w:jc w:val="center"/>
              <w:rPr>
                <w:rFonts w:hint="default" w:ascii="仿宋" w:hAnsi="仿宋" w:eastAsia="仿宋" w:cs="仿宋"/>
                <w:sz w:val="28"/>
                <w:szCs w:val="28"/>
                <w:vertAlign w:val="baseline"/>
                <w:lang w:val="en-US" w:eastAsia="zh-CN"/>
              </w:rPr>
            </w:pPr>
          </w:p>
        </w:tc>
        <w:tc>
          <w:tcPr>
            <w:tcW w:w="2020" w:type="dxa"/>
            <w:vAlign w:val="center"/>
          </w:tcPr>
          <w:p w14:paraId="1547AE24">
            <w:pPr>
              <w:numPr>
                <w:ilvl w:val="0"/>
                <w:numId w:val="0"/>
              </w:numPr>
              <w:jc w:val="center"/>
              <w:rPr>
                <w:rFonts w:hint="default" w:ascii="仿宋" w:hAnsi="仿宋" w:eastAsia="仿宋" w:cs="仿宋"/>
                <w:sz w:val="28"/>
                <w:szCs w:val="28"/>
                <w:vertAlign w:val="baseline"/>
                <w:lang w:val="en-US" w:eastAsia="zh-CN"/>
              </w:rPr>
            </w:pPr>
          </w:p>
        </w:tc>
      </w:tr>
      <w:tr w14:paraId="1BA6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458" w:type="dxa"/>
            <w:vAlign w:val="center"/>
          </w:tcPr>
          <w:p w14:paraId="692F1F28">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土地手续办理情况</w:t>
            </w:r>
          </w:p>
        </w:tc>
        <w:tc>
          <w:tcPr>
            <w:tcW w:w="6064" w:type="dxa"/>
            <w:gridSpan w:val="3"/>
            <w:vAlign w:val="center"/>
          </w:tcPr>
          <w:p w14:paraId="4404E44E">
            <w:pPr>
              <w:numPr>
                <w:ilvl w:val="0"/>
                <w:numId w:val="0"/>
              </w:numPr>
              <w:jc w:val="center"/>
              <w:rPr>
                <w:rFonts w:hint="default" w:ascii="仿宋" w:hAnsi="仿宋" w:eastAsia="仿宋" w:cs="仿宋"/>
                <w:sz w:val="28"/>
                <w:szCs w:val="28"/>
                <w:vertAlign w:val="baseline"/>
                <w:lang w:val="en-US" w:eastAsia="zh-CN"/>
              </w:rPr>
            </w:pPr>
          </w:p>
        </w:tc>
      </w:tr>
      <w:tr w14:paraId="6A7F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458" w:type="dxa"/>
            <w:vAlign w:val="center"/>
          </w:tcPr>
          <w:p w14:paraId="6F8692A0">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规划手续办理情况</w:t>
            </w:r>
          </w:p>
        </w:tc>
        <w:tc>
          <w:tcPr>
            <w:tcW w:w="6064" w:type="dxa"/>
            <w:gridSpan w:val="3"/>
            <w:vAlign w:val="center"/>
          </w:tcPr>
          <w:p w14:paraId="0AE49EA5">
            <w:pPr>
              <w:numPr>
                <w:ilvl w:val="0"/>
                <w:numId w:val="0"/>
              </w:numPr>
              <w:jc w:val="center"/>
              <w:rPr>
                <w:rFonts w:hint="default" w:ascii="仿宋" w:hAnsi="仿宋" w:eastAsia="仿宋" w:cs="仿宋"/>
                <w:sz w:val="28"/>
                <w:szCs w:val="28"/>
                <w:vertAlign w:val="baseline"/>
                <w:lang w:val="en-US" w:eastAsia="zh-CN"/>
              </w:rPr>
            </w:pPr>
          </w:p>
        </w:tc>
      </w:tr>
      <w:tr w14:paraId="5E9D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458" w:type="dxa"/>
            <w:vAlign w:val="center"/>
          </w:tcPr>
          <w:p w14:paraId="4C897BC9">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存在的问题 </w:t>
            </w:r>
          </w:p>
        </w:tc>
        <w:tc>
          <w:tcPr>
            <w:tcW w:w="6064" w:type="dxa"/>
            <w:gridSpan w:val="3"/>
            <w:vAlign w:val="center"/>
          </w:tcPr>
          <w:p w14:paraId="3E4024EF">
            <w:pPr>
              <w:numPr>
                <w:ilvl w:val="0"/>
                <w:numId w:val="0"/>
              </w:numPr>
              <w:jc w:val="center"/>
              <w:rPr>
                <w:rFonts w:hint="default" w:ascii="仿宋" w:hAnsi="仿宋" w:eastAsia="仿宋" w:cs="仿宋"/>
                <w:sz w:val="28"/>
                <w:szCs w:val="28"/>
                <w:vertAlign w:val="baseline"/>
                <w:lang w:val="en-US" w:eastAsia="zh-CN"/>
              </w:rPr>
            </w:pPr>
          </w:p>
        </w:tc>
      </w:tr>
      <w:tr w14:paraId="20C4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458" w:type="dxa"/>
            <w:vAlign w:val="center"/>
          </w:tcPr>
          <w:p w14:paraId="0493486D">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  注</w:t>
            </w:r>
          </w:p>
        </w:tc>
        <w:tc>
          <w:tcPr>
            <w:tcW w:w="6064" w:type="dxa"/>
            <w:gridSpan w:val="3"/>
            <w:vAlign w:val="center"/>
          </w:tcPr>
          <w:p w14:paraId="204FD577">
            <w:pPr>
              <w:numPr>
                <w:ilvl w:val="0"/>
                <w:numId w:val="0"/>
              </w:numPr>
              <w:jc w:val="center"/>
              <w:rPr>
                <w:rFonts w:hint="default" w:ascii="仿宋" w:hAnsi="仿宋" w:eastAsia="仿宋" w:cs="仿宋"/>
                <w:sz w:val="28"/>
                <w:szCs w:val="28"/>
                <w:vertAlign w:val="baseline"/>
                <w:lang w:val="en-US" w:eastAsia="zh-CN"/>
              </w:rPr>
            </w:pPr>
          </w:p>
        </w:tc>
      </w:tr>
    </w:tbl>
    <w:p w14:paraId="48DB117B">
      <w:pPr>
        <w:numPr>
          <w:ilvl w:val="0"/>
          <w:numId w:val="0"/>
        </w:numPr>
        <w:rPr>
          <w:rFonts w:hint="default" w:ascii="仿宋" w:hAnsi="仿宋" w:eastAsia="仿宋" w:cs="仿宋"/>
          <w:sz w:val="32"/>
          <w:szCs w:val="32"/>
          <w:lang w:val="en-US" w:eastAsia="zh-CN"/>
        </w:rPr>
      </w:pPr>
    </w:p>
    <w:p w14:paraId="0D2DC893">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3AEC06D0">
      <w:pPr>
        <w:numPr>
          <w:ilvl w:val="0"/>
          <w:numId w:val="0"/>
        </w:numPr>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50C417DE">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附表2：</w:t>
      </w:r>
    </w:p>
    <w:p w14:paraId="708C5929">
      <w:pPr>
        <w:numPr>
          <w:ilvl w:val="0"/>
          <w:numId w:val="0"/>
        </w:numPr>
        <w:jc w:val="center"/>
        <w:rPr>
          <w:rFonts w:hint="eastAsia" w:ascii="宋体" w:hAnsi="宋体" w:eastAsia="宋体" w:cs="宋体"/>
          <w:sz w:val="44"/>
          <w:szCs w:val="44"/>
          <w:lang w:val="en-US" w:eastAsia="zh-CN"/>
        </w:rPr>
      </w:pPr>
    </w:p>
    <w:p w14:paraId="13DF8E72">
      <w:pPr>
        <w:numPr>
          <w:ilvl w:val="0"/>
          <w:numId w:val="0"/>
        </w:num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建设工程摸底调查汇总表</w:t>
      </w:r>
    </w:p>
    <w:p w14:paraId="70BC5FB5">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乡镇（街道）：                     </w:t>
      </w:r>
    </w:p>
    <w:tbl>
      <w:tblPr>
        <w:tblStyle w:val="5"/>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125"/>
        <w:gridCol w:w="1515"/>
        <w:gridCol w:w="2055"/>
        <w:gridCol w:w="727"/>
        <w:gridCol w:w="833"/>
        <w:gridCol w:w="1200"/>
        <w:gridCol w:w="1132"/>
        <w:gridCol w:w="1418"/>
        <w:gridCol w:w="1350"/>
        <w:gridCol w:w="1087"/>
        <w:gridCol w:w="1080"/>
      </w:tblGrid>
      <w:tr w14:paraId="7ADC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79" w:type="dxa"/>
            <w:vAlign w:val="center"/>
          </w:tcPr>
          <w:p w14:paraId="030278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125" w:type="dxa"/>
            <w:vAlign w:val="center"/>
          </w:tcPr>
          <w:p w14:paraId="6ECA26C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建设项目</w:t>
            </w:r>
          </w:p>
        </w:tc>
        <w:tc>
          <w:tcPr>
            <w:tcW w:w="1515" w:type="dxa"/>
            <w:vAlign w:val="center"/>
          </w:tcPr>
          <w:p w14:paraId="4E60F3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位置</w:t>
            </w:r>
          </w:p>
        </w:tc>
        <w:tc>
          <w:tcPr>
            <w:tcW w:w="2055" w:type="dxa"/>
            <w:vAlign w:val="center"/>
          </w:tcPr>
          <w:p w14:paraId="612BC5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建设单位</w:t>
            </w:r>
          </w:p>
        </w:tc>
        <w:tc>
          <w:tcPr>
            <w:tcW w:w="727" w:type="dxa"/>
            <w:vAlign w:val="center"/>
          </w:tcPr>
          <w:p w14:paraId="7FA367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联系人</w:t>
            </w:r>
          </w:p>
        </w:tc>
        <w:tc>
          <w:tcPr>
            <w:tcW w:w="833" w:type="dxa"/>
            <w:vAlign w:val="center"/>
          </w:tcPr>
          <w:p w14:paraId="62C8B2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tc>
        <w:tc>
          <w:tcPr>
            <w:tcW w:w="1200" w:type="dxa"/>
            <w:vAlign w:val="center"/>
          </w:tcPr>
          <w:p w14:paraId="3327A21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用地面积 （亩）</w:t>
            </w:r>
          </w:p>
        </w:tc>
        <w:tc>
          <w:tcPr>
            <w:tcW w:w="1132" w:type="dxa"/>
            <w:vAlign w:val="center"/>
          </w:tcPr>
          <w:p w14:paraId="74DC354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建设规模（㎡）</w:t>
            </w:r>
          </w:p>
        </w:tc>
        <w:tc>
          <w:tcPr>
            <w:tcW w:w="1418" w:type="dxa"/>
            <w:vAlign w:val="center"/>
          </w:tcPr>
          <w:p w14:paraId="0637D56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土地手续办理情况</w:t>
            </w:r>
          </w:p>
        </w:tc>
        <w:tc>
          <w:tcPr>
            <w:tcW w:w="1350" w:type="dxa"/>
            <w:vAlign w:val="center"/>
          </w:tcPr>
          <w:p w14:paraId="1BDBF87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规划手续办理情况</w:t>
            </w:r>
          </w:p>
        </w:tc>
        <w:tc>
          <w:tcPr>
            <w:tcW w:w="1087" w:type="dxa"/>
            <w:vAlign w:val="center"/>
          </w:tcPr>
          <w:p w14:paraId="667221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存在的问题</w:t>
            </w:r>
          </w:p>
        </w:tc>
        <w:tc>
          <w:tcPr>
            <w:tcW w:w="1080" w:type="dxa"/>
            <w:vAlign w:val="center"/>
          </w:tcPr>
          <w:p w14:paraId="5D0474F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362A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9" w:type="dxa"/>
          </w:tcPr>
          <w:p w14:paraId="3C2C3C6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125" w:type="dxa"/>
          </w:tcPr>
          <w:p w14:paraId="4D4ED87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515" w:type="dxa"/>
          </w:tcPr>
          <w:p w14:paraId="288B8B9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2055" w:type="dxa"/>
          </w:tcPr>
          <w:p w14:paraId="159D2D3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727" w:type="dxa"/>
          </w:tcPr>
          <w:p w14:paraId="5A071AC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833" w:type="dxa"/>
          </w:tcPr>
          <w:p w14:paraId="353FD2A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200" w:type="dxa"/>
          </w:tcPr>
          <w:p w14:paraId="1C303FF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132" w:type="dxa"/>
          </w:tcPr>
          <w:p w14:paraId="64DF5B3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418" w:type="dxa"/>
          </w:tcPr>
          <w:p w14:paraId="3F97343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350" w:type="dxa"/>
          </w:tcPr>
          <w:p w14:paraId="74B0D8C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087" w:type="dxa"/>
          </w:tcPr>
          <w:p w14:paraId="5C89DFF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080" w:type="dxa"/>
          </w:tcPr>
          <w:p w14:paraId="5D034B3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r>
      <w:tr w14:paraId="6D0D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9" w:type="dxa"/>
          </w:tcPr>
          <w:p w14:paraId="2C9C218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125" w:type="dxa"/>
          </w:tcPr>
          <w:p w14:paraId="79D81DD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515" w:type="dxa"/>
          </w:tcPr>
          <w:p w14:paraId="20159BD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2055" w:type="dxa"/>
          </w:tcPr>
          <w:p w14:paraId="7AC780A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727" w:type="dxa"/>
          </w:tcPr>
          <w:p w14:paraId="090404B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833" w:type="dxa"/>
          </w:tcPr>
          <w:p w14:paraId="48F21D7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200" w:type="dxa"/>
          </w:tcPr>
          <w:p w14:paraId="0EDA015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132" w:type="dxa"/>
          </w:tcPr>
          <w:p w14:paraId="359A3CE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418" w:type="dxa"/>
          </w:tcPr>
          <w:p w14:paraId="2BAE7C1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350" w:type="dxa"/>
          </w:tcPr>
          <w:p w14:paraId="3DDE3E1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087" w:type="dxa"/>
          </w:tcPr>
          <w:p w14:paraId="74FAD89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080" w:type="dxa"/>
          </w:tcPr>
          <w:p w14:paraId="0B284EC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r>
      <w:tr w14:paraId="584B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9" w:type="dxa"/>
          </w:tcPr>
          <w:p w14:paraId="255D211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125" w:type="dxa"/>
          </w:tcPr>
          <w:p w14:paraId="1A0830B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515" w:type="dxa"/>
          </w:tcPr>
          <w:p w14:paraId="016A747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2055" w:type="dxa"/>
          </w:tcPr>
          <w:p w14:paraId="47508EE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727" w:type="dxa"/>
          </w:tcPr>
          <w:p w14:paraId="3AA0D7C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833" w:type="dxa"/>
          </w:tcPr>
          <w:p w14:paraId="1420427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200" w:type="dxa"/>
          </w:tcPr>
          <w:p w14:paraId="67E9F0F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132" w:type="dxa"/>
          </w:tcPr>
          <w:p w14:paraId="6090A95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418" w:type="dxa"/>
          </w:tcPr>
          <w:p w14:paraId="56F5AD7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350" w:type="dxa"/>
          </w:tcPr>
          <w:p w14:paraId="13DEDDE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087" w:type="dxa"/>
          </w:tcPr>
          <w:p w14:paraId="7104E1B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080" w:type="dxa"/>
          </w:tcPr>
          <w:p w14:paraId="5B34B13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r>
      <w:tr w14:paraId="4C76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9" w:type="dxa"/>
          </w:tcPr>
          <w:p w14:paraId="49BDBCE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125" w:type="dxa"/>
          </w:tcPr>
          <w:p w14:paraId="614AA45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515" w:type="dxa"/>
          </w:tcPr>
          <w:p w14:paraId="0DA11D1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2055" w:type="dxa"/>
          </w:tcPr>
          <w:p w14:paraId="6D16110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727" w:type="dxa"/>
          </w:tcPr>
          <w:p w14:paraId="5FF313B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833" w:type="dxa"/>
          </w:tcPr>
          <w:p w14:paraId="1C85D37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200" w:type="dxa"/>
          </w:tcPr>
          <w:p w14:paraId="5832D12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132" w:type="dxa"/>
          </w:tcPr>
          <w:p w14:paraId="748355E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418" w:type="dxa"/>
          </w:tcPr>
          <w:p w14:paraId="47935EA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350" w:type="dxa"/>
          </w:tcPr>
          <w:p w14:paraId="0B27776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087" w:type="dxa"/>
          </w:tcPr>
          <w:p w14:paraId="4EA81FF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c>
          <w:tcPr>
            <w:tcW w:w="1080" w:type="dxa"/>
          </w:tcPr>
          <w:p w14:paraId="4EC85FC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p>
        </w:tc>
      </w:tr>
    </w:tbl>
    <w:p w14:paraId="7A74061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lang w:val="en-US" w:eastAsia="zh-CN"/>
        </w:rPr>
      </w:pPr>
    </w:p>
    <w:p w14:paraId="22A51A2A">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附表3：</w:t>
      </w:r>
    </w:p>
    <w:p w14:paraId="61E544A6">
      <w:pPr>
        <w:numPr>
          <w:ilvl w:val="0"/>
          <w:numId w:val="0"/>
        </w:numPr>
        <w:rPr>
          <w:rFonts w:hint="eastAsia" w:ascii="仿宋" w:hAnsi="仿宋" w:eastAsia="仿宋" w:cs="仿宋"/>
          <w:sz w:val="32"/>
          <w:szCs w:val="32"/>
          <w:lang w:val="en-US" w:eastAsia="zh-CN"/>
        </w:rPr>
      </w:pPr>
    </w:p>
    <w:p w14:paraId="097982C1">
      <w:pPr>
        <w:numPr>
          <w:ilvl w:val="0"/>
          <w:numId w:val="0"/>
        </w:numPr>
        <w:jc w:val="center"/>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专项工作进度表</w:t>
      </w:r>
    </w:p>
    <w:p w14:paraId="3CD2A554">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股室：</w:t>
      </w:r>
    </w:p>
    <w:tbl>
      <w:tblPr>
        <w:tblStyle w:val="5"/>
        <w:tblW w:w="0" w:type="auto"/>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332"/>
        <w:gridCol w:w="6038"/>
        <w:gridCol w:w="1777"/>
        <w:gridCol w:w="1680"/>
      </w:tblGrid>
      <w:tr w14:paraId="0C76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2B12F8A">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332" w:type="dxa"/>
            <w:vAlign w:val="center"/>
          </w:tcPr>
          <w:p w14:paraId="0898BA03">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建设项目</w:t>
            </w:r>
          </w:p>
        </w:tc>
        <w:tc>
          <w:tcPr>
            <w:tcW w:w="6038" w:type="dxa"/>
            <w:vAlign w:val="center"/>
          </w:tcPr>
          <w:p w14:paraId="6EC8730D">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进展情况</w:t>
            </w:r>
          </w:p>
        </w:tc>
        <w:tc>
          <w:tcPr>
            <w:tcW w:w="1777" w:type="dxa"/>
            <w:vAlign w:val="center"/>
          </w:tcPr>
          <w:p w14:paraId="6D9F5720">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完成时间</w:t>
            </w:r>
          </w:p>
        </w:tc>
        <w:tc>
          <w:tcPr>
            <w:tcW w:w="1680" w:type="dxa"/>
            <w:vAlign w:val="center"/>
          </w:tcPr>
          <w:p w14:paraId="0F766513">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43CC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D411F5E">
            <w:pPr>
              <w:numPr>
                <w:ilvl w:val="0"/>
                <w:numId w:val="0"/>
              </w:numPr>
              <w:jc w:val="center"/>
              <w:rPr>
                <w:rFonts w:hint="default" w:ascii="仿宋" w:hAnsi="仿宋" w:eastAsia="仿宋" w:cs="仿宋"/>
                <w:sz w:val="28"/>
                <w:szCs w:val="28"/>
                <w:vertAlign w:val="baseline"/>
                <w:lang w:val="en-US" w:eastAsia="zh-CN"/>
              </w:rPr>
            </w:pPr>
          </w:p>
        </w:tc>
        <w:tc>
          <w:tcPr>
            <w:tcW w:w="2332" w:type="dxa"/>
            <w:vAlign w:val="center"/>
          </w:tcPr>
          <w:p w14:paraId="51D08570">
            <w:pPr>
              <w:numPr>
                <w:ilvl w:val="0"/>
                <w:numId w:val="0"/>
              </w:numPr>
              <w:jc w:val="center"/>
              <w:rPr>
                <w:rFonts w:hint="default" w:ascii="仿宋" w:hAnsi="仿宋" w:eastAsia="仿宋" w:cs="仿宋"/>
                <w:sz w:val="28"/>
                <w:szCs w:val="28"/>
                <w:vertAlign w:val="baseline"/>
                <w:lang w:val="en-US" w:eastAsia="zh-CN"/>
              </w:rPr>
            </w:pPr>
          </w:p>
        </w:tc>
        <w:tc>
          <w:tcPr>
            <w:tcW w:w="6038" w:type="dxa"/>
            <w:vAlign w:val="center"/>
          </w:tcPr>
          <w:p w14:paraId="514502BE">
            <w:pPr>
              <w:numPr>
                <w:ilvl w:val="0"/>
                <w:numId w:val="0"/>
              </w:numPr>
              <w:jc w:val="center"/>
              <w:rPr>
                <w:rFonts w:hint="default" w:ascii="仿宋" w:hAnsi="仿宋" w:eastAsia="仿宋" w:cs="仿宋"/>
                <w:sz w:val="28"/>
                <w:szCs w:val="28"/>
                <w:vertAlign w:val="baseline"/>
                <w:lang w:val="en-US" w:eastAsia="zh-CN"/>
              </w:rPr>
            </w:pPr>
          </w:p>
        </w:tc>
        <w:tc>
          <w:tcPr>
            <w:tcW w:w="1777" w:type="dxa"/>
            <w:vAlign w:val="center"/>
          </w:tcPr>
          <w:p w14:paraId="01EC1D1B">
            <w:pPr>
              <w:numPr>
                <w:ilvl w:val="0"/>
                <w:numId w:val="0"/>
              </w:numPr>
              <w:jc w:val="center"/>
              <w:rPr>
                <w:rFonts w:hint="default" w:ascii="仿宋" w:hAnsi="仿宋" w:eastAsia="仿宋" w:cs="仿宋"/>
                <w:sz w:val="28"/>
                <w:szCs w:val="28"/>
                <w:vertAlign w:val="baseline"/>
                <w:lang w:val="en-US" w:eastAsia="zh-CN"/>
              </w:rPr>
            </w:pPr>
          </w:p>
        </w:tc>
        <w:tc>
          <w:tcPr>
            <w:tcW w:w="1680" w:type="dxa"/>
            <w:vAlign w:val="center"/>
          </w:tcPr>
          <w:p w14:paraId="409C5B93">
            <w:pPr>
              <w:numPr>
                <w:ilvl w:val="0"/>
                <w:numId w:val="0"/>
              </w:numPr>
              <w:jc w:val="center"/>
              <w:rPr>
                <w:rFonts w:hint="default" w:ascii="仿宋" w:hAnsi="仿宋" w:eastAsia="仿宋" w:cs="仿宋"/>
                <w:sz w:val="28"/>
                <w:szCs w:val="28"/>
                <w:vertAlign w:val="baseline"/>
                <w:lang w:val="en-US" w:eastAsia="zh-CN"/>
              </w:rPr>
            </w:pPr>
          </w:p>
        </w:tc>
      </w:tr>
      <w:tr w14:paraId="1BE1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3806F1">
            <w:pPr>
              <w:numPr>
                <w:ilvl w:val="0"/>
                <w:numId w:val="0"/>
              </w:numPr>
              <w:jc w:val="center"/>
              <w:rPr>
                <w:rFonts w:hint="default" w:ascii="仿宋" w:hAnsi="仿宋" w:eastAsia="仿宋" w:cs="仿宋"/>
                <w:sz w:val="28"/>
                <w:szCs w:val="28"/>
                <w:vertAlign w:val="baseline"/>
                <w:lang w:val="en-US" w:eastAsia="zh-CN"/>
              </w:rPr>
            </w:pPr>
          </w:p>
        </w:tc>
        <w:tc>
          <w:tcPr>
            <w:tcW w:w="2332" w:type="dxa"/>
            <w:vAlign w:val="center"/>
          </w:tcPr>
          <w:p w14:paraId="73FADFFC">
            <w:pPr>
              <w:numPr>
                <w:ilvl w:val="0"/>
                <w:numId w:val="0"/>
              </w:numPr>
              <w:jc w:val="center"/>
              <w:rPr>
                <w:rFonts w:hint="default" w:ascii="仿宋" w:hAnsi="仿宋" w:eastAsia="仿宋" w:cs="仿宋"/>
                <w:sz w:val="28"/>
                <w:szCs w:val="28"/>
                <w:vertAlign w:val="baseline"/>
                <w:lang w:val="en-US" w:eastAsia="zh-CN"/>
              </w:rPr>
            </w:pPr>
          </w:p>
        </w:tc>
        <w:tc>
          <w:tcPr>
            <w:tcW w:w="6038" w:type="dxa"/>
            <w:vAlign w:val="center"/>
          </w:tcPr>
          <w:p w14:paraId="5EFF7A73">
            <w:pPr>
              <w:numPr>
                <w:ilvl w:val="0"/>
                <w:numId w:val="0"/>
              </w:numPr>
              <w:jc w:val="center"/>
              <w:rPr>
                <w:rFonts w:hint="default" w:ascii="仿宋" w:hAnsi="仿宋" w:eastAsia="仿宋" w:cs="仿宋"/>
                <w:sz w:val="28"/>
                <w:szCs w:val="28"/>
                <w:vertAlign w:val="baseline"/>
                <w:lang w:val="en-US" w:eastAsia="zh-CN"/>
              </w:rPr>
            </w:pPr>
          </w:p>
        </w:tc>
        <w:tc>
          <w:tcPr>
            <w:tcW w:w="1777" w:type="dxa"/>
            <w:vAlign w:val="center"/>
          </w:tcPr>
          <w:p w14:paraId="5C04B82B">
            <w:pPr>
              <w:numPr>
                <w:ilvl w:val="0"/>
                <w:numId w:val="0"/>
              </w:numPr>
              <w:jc w:val="center"/>
              <w:rPr>
                <w:rFonts w:hint="default" w:ascii="仿宋" w:hAnsi="仿宋" w:eastAsia="仿宋" w:cs="仿宋"/>
                <w:sz w:val="28"/>
                <w:szCs w:val="28"/>
                <w:vertAlign w:val="baseline"/>
                <w:lang w:val="en-US" w:eastAsia="zh-CN"/>
              </w:rPr>
            </w:pPr>
          </w:p>
        </w:tc>
        <w:tc>
          <w:tcPr>
            <w:tcW w:w="1680" w:type="dxa"/>
            <w:vAlign w:val="center"/>
          </w:tcPr>
          <w:p w14:paraId="2D882FA1">
            <w:pPr>
              <w:numPr>
                <w:ilvl w:val="0"/>
                <w:numId w:val="0"/>
              </w:numPr>
              <w:jc w:val="center"/>
              <w:rPr>
                <w:rFonts w:hint="default" w:ascii="仿宋" w:hAnsi="仿宋" w:eastAsia="仿宋" w:cs="仿宋"/>
                <w:sz w:val="28"/>
                <w:szCs w:val="28"/>
                <w:vertAlign w:val="baseline"/>
                <w:lang w:val="en-US" w:eastAsia="zh-CN"/>
              </w:rPr>
            </w:pPr>
          </w:p>
        </w:tc>
      </w:tr>
      <w:tr w14:paraId="70B2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828F372">
            <w:pPr>
              <w:numPr>
                <w:ilvl w:val="0"/>
                <w:numId w:val="0"/>
              </w:numPr>
              <w:jc w:val="center"/>
              <w:rPr>
                <w:rFonts w:hint="default" w:ascii="仿宋" w:hAnsi="仿宋" w:eastAsia="仿宋" w:cs="仿宋"/>
                <w:sz w:val="28"/>
                <w:szCs w:val="28"/>
                <w:vertAlign w:val="baseline"/>
                <w:lang w:val="en-US" w:eastAsia="zh-CN"/>
              </w:rPr>
            </w:pPr>
          </w:p>
        </w:tc>
        <w:tc>
          <w:tcPr>
            <w:tcW w:w="2332" w:type="dxa"/>
            <w:vAlign w:val="center"/>
          </w:tcPr>
          <w:p w14:paraId="74EBCC8C">
            <w:pPr>
              <w:numPr>
                <w:ilvl w:val="0"/>
                <w:numId w:val="0"/>
              </w:numPr>
              <w:jc w:val="center"/>
              <w:rPr>
                <w:rFonts w:hint="default" w:ascii="仿宋" w:hAnsi="仿宋" w:eastAsia="仿宋" w:cs="仿宋"/>
                <w:sz w:val="28"/>
                <w:szCs w:val="28"/>
                <w:vertAlign w:val="baseline"/>
                <w:lang w:val="en-US" w:eastAsia="zh-CN"/>
              </w:rPr>
            </w:pPr>
          </w:p>
        </w:tc>
        <w:tc>
          <w:tcPr>
            <w:tcW w:w="6038" w:type="dxa"/>
            <w:vAlign w:val="center"/>
          </w:tcPr>
          <w:p w14:paraId="3FA78F8F">
            <w:pPr>
              <w:numPr>
                <w:ilvl w:val="0"/>
                <w:numId w:val="0"/>
              </w:numPr>
              <w:jc w:val="center"/>
              <w:rPr>
                <w:rFonts w:hint="default" w:ascii="仿宋" w:hAnsi="仿宋" w:eastAsia="仿宋" w:cs="仿宋"/>
                <w:sz w:val="28"/>
                <w:szCs w:val="28"/>
                <w:vertAlign w:val="baseline"/>
                <w:lang w:val="en-US" w:eastAsia="zh-CN"/>
              </w:rPr>
            </w:pPr>
          </w:p>
        </w:tc>
        <w:tc>
          <w:tcPr>
            <w:tcW w:w="1777" w:type="dxa"/>
            <w:vAlign w:val="center"/>
          </w:tcPr>
          <w:p w14:paraId="4C087240">
            <w:pPr>
              <w:numPr>
                <w:ilvl w:val="0"/>
                <w:numId w:val="0"/>
              </w:numPr>
              <w:jc w:val="center"/>
              <w:rPr>
                <w:rFonts w:hint="default" w:ascii="仿宋" w:hAnsi="仿宋" w:eastAsia="仿宋" w:cs="仿宋"/>
                <w:sz w:val="28"/>
                <w:szCs w:val="28"/>
                <w:vertAlign w:val="baseline"/>
                <w:lang w:val="en-US" w:eastAsia="zh-CN"/>
              </w:rPr>
            </w:pPr>
          </w:p>
        </w:tc>
        <w:tc>
          <w:tcPr>
            <w:tcW w:w="1680" w:type="dxa"/>
            <w:vAlign w:val="center"/>
          </w:tcPr>
          <w:p w14:paraId="48FBFC48">
            <w:pPr>
              <w:numPr>
                <w:ilvl w:val="0"/>
                <w:numId w:val="0"/>
              </w:numPr>
              <w:jc w:val="center"/>
              <w:rPr>
                <w:rFonts w:hint="default" w:ascii="仿宋" w:hAnsi="仿宋" w:eastAsia="仿宋" w:cs="仿宋"/>
                <w:sz w:val="28"/>
                <w:szCs w:val="28"/>
                <w:vertAlign w:val="baseline"/>
                <w:lang w:val="en-US" w:eastAsia="zh-CN"/>
              </w:rPr>
            </w:pPr>
          </w:p>
        </w:tc>
      </w:tr>
      <w:tr w14:paraId="3632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F50840F">
            <w:pPr>
              <w:numPr>
                <w:ilvl w:val="0"/>
                <w:numId w:val="0"/>
              </w:numPr>
              <w:jc w:val="center"/>
              <w:rPr>
                <w:rFonts w:hint="default" w:ascii="仿宋" w:hAnsi="仿宋" w:eastAsia="仿宋" w:cs="仿宋"/>
                <w:sz w:val="28"/>
                <w:szCs w:val="28"/>
                <w:vertAlign w:val="baseline"/>
                <w:lang w:val="en-US" w:eastAsia="zh-CN"/>
              </w:rPr>
            </w:pPr>
          </w:p>
        </w:tc>
        <w:tc>
          <w:tcPr>
            <w:tcW w:w="2332" w:type="dxa"/>
            <w:vAlign w:val="center"/>
          </w:tcPr>
          <w:p w14:paraId="3CB3FBDE">
            <w:pPr>
              <w:numPr>
                <w:ilvl w:val="0"/>
                <w:numId w:val="0"/>
              </w:numPr>
              <w:jc w:val="center"/>
              <w:rPr>
                <w:rFonts w:hint="default" w:ascii="仿宋" w:hAnsi="仿宋" w:eastAsia="仿宋" w:cs="仿宋"/>
                <w:sz w:val="28"/>
                <w:szCs w:val="28"/>
                <w:vertAlign w:val="baseline"/>
                <w:lang w:val="en-US" w:eastAsia="zh-CN"/>
              </w:rPr>
            </w:pPr>
          </w:p>
        </w:tc>
        <w:tc>
          <w:tcPr>
            <w:tcW w:w="6038" w:type="dxa"/>
            <w:vAlign w:val="center"/>
          </w:tcPr>
          <w:p w14:paraId="77E13723">
            <w:pPr>
              <w:numPr>
                <w:ilvl w:val="0"/>
                <w:numId w:val="0"/>
              </w:numPr>
              <w:jc w:val="center"/>
              <w:rPr>
                <w:rFonts w:hint="default" w:ascii="仿宋" w:hAnsi="仿宋" w:eastAsia="仿宋" w:cs="仿宋"/>
                <w:sz w:val="28"/>
                <w:szCs w:val="28"/>
                <w:vertAlign w:val="baseline"/>
                <w:lang w:val="en-US" w:eastAsia="zh-CN"/>
              </w:rPr>
            </w:pPr>
          </w:p>
        </w:tc>
        <w:tc>
          <w:tcPr>
            <w:tcW w:w="1777" w:type="dxa"/>
            <w:vAlign w:val="center"/>
          </w:tcPr>
          <w:p w14:paraId="21D4A08A">
            <w:pPr>
              <w:numPr>
                <w:ilvl w:val="0"/>
                <w:numId w:val="0"/>
              </w:numPr>
              <w:jc w:val="center"/>
              <w:rPr>
                <w:rFonts w:hint="default" w:ascii="仿宋" w:hAnsi="仿宋" w:eastAsia="仿宋" w:cs="仿宋"/>
                <w:sz w:val="28"/>
                <w:szCs w:val="28"/>
                <w:vertAlign w:val="baseline"/>
                <w:lang w:val="en-US" w:eastAsia="zh-CN"/>
              </w:rPr>
            </w:pPr>
          </w:p>
        </w:tc>
        <w:tc>
          <w:tcPr>
            <w:tcW w:w="1680" w:type="dxa"/>
            <w:vAlign w:val="center"/>
          </w:tcPr>
          <w:p w14:paraId="3A1EA6B1">
            <w:pPr>
              <w:numPr>
                <w:ilvl w:val="0"/>
                <w:numId w:val="0"/>
              </w:numPr>
              <w:jc w:val="center"/>
              <w:rPr>
                <w:rFonts w:hint="default" w:ascii="仿宋" w:hAnsi="仿宋" w:eastAsia="仿宋" w:cs="仿宋"/>
                <w:sz w:val="28"/>
                <w:szCs w:val="28"/>
                <w:vertAlign w:val="baseline"/>
                <w:lang w:val="en-US" w:eastAsia="zh-CN"/>
              </w:rPr>
            </w:pPr>
          </w:p>
        </w:tc>
      </w:tr>
    </w:tbl>
    <w:p w14:paraId="59B58618">
      <w:pPr>
        <w:numPr>
          <w:ilvl w:val="0"/>
          <w:numId w:val="0"/>
        </w:numPr>
        <w:rPr>
          <w:rFonts w:hint="default" w:ascii="仿宋" w:hAnsi="仿宋" w:eastAsia="仿宋" w:cs="仿宋"/>
          <w:sz w:val="28"/>
          <w:szCs w:val="28"/>
          <w:lang w:val="en-US" w:eastAsia="zh-CN"/>
        </w:rPr>
      </w:pPr>
    </w:p>
    <w:p w14:paraId="6A069363">
      <w:pPr>
        <w:numPr>
          <w:ilvl w:val="0"/>
          <w:numId w:val="0"/>
        </w:numPr>
        <w:rPr>
          <w:rFonts w:hint="eastAsia" w:ascii="仿宋" w:hAnsi="仿宋" w:eastAsia="仿宋" w:cs="仿宋"/>
          <w:sz w:val="32"/>
          <w:szCs w:val="32"/>
          <w:lang w:val="en-US" w:eastAsia="zh-CN"/>
        </w:rPr>
      </w:pPr>
    </w:p>
    <w:p w14:paraId="03212309">
      <w:pPr>
        <w:numPr>
          <w:ilvl w:val="0"/>
          <w:numId w:val="0"/>
        </w:numPr>
        <w:rPr>
          <w:rFonts w:hint="eastAsia" w:ascii="仿宋" w:hAnsi="仿宋" w:eastAsia="仿宋" w:cs="仿宋"/>
          <w:sz w:val="32"/>
          <w:szCs w:val="32"/>
          <w:lang w:val="en-US" w:eastAsia="zh-CN"/>
        </w:rPr>
        <w:sectPr>
          <w:pgSz w:w="16838" w:h="11906" w:orient="landscape"/>
          <w:pgMar w:top="1800" w:right="1440" w:bottom="1800" w:left="1440" w:header="851" w:footer="992" w:gutter="0"/>
          <w:cols w:space="425" w:num="1"/>
          <w:docGrid w:type="lines" w:linePitch="312" w:charSpace="0"/>
        </w:sectPr>
      </w:pPr>
      <w:bookmarkStart w:id="0" w:name="_GoBack"/>
      <w:bookmarkEnd w:id="0"/>
    </w:p>
    <w:p w14:paraId="691D3704">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附表4：</w:t>
      </w:r>
    </w:p>
    <w:p w14:paraId="1ED4876F">
      <w:pPr>
        <w:numPr>
          <w:ilvl w:val="0"/>
          <w:numId w:val="0"/>
        </w:numPr>
        <w:rPr>
          <w:rFonts w:hint="default" w:ascii="仿宋" w:hAnsi="仿宋" w:eastAsia="仿宋" w:cs="仿宋"/>
          <w:sz w:val="32"/>
          <w:szCs w:val="32"/>
          <w:lang w:val="en-US" w:eastAsia="zh-CN"/>
        </w:rPr>
      </w:pPr>
    </w:p>
    <w:p w14:paraId="6C523781">
      <w:pPr>
        <w:numPr>
          <w:ilvl w:val="0"/>
          <w:numId w:val="0"/>
        </w:numPr>
        <w:jc w:val="center"/>
        <w:rPr>
          <w:rFonts w:hint="default" w:ascii="仿宋" w:hAnsi="仿宋" w:eastAsia="仿宋" w:cs="仿宋"/>
          <w:sz w:val="32"/>
          <w:szCs w:val="32"/>
          <w:lang w:val="en-US" w:eastAsia="zh-CN"/>
        </w:rPr>
      </w:pPr>
      <w:r>
        <w:rPr>
          <w:rFonts w:hint="eastAsia" w:ascii="宋体" w:hAnsi="宋体" w:eastAsia="宋体" w:cs="宋体"/>
          <w:sz w:val="44"/>
          <w:szCs w:val="44"/>
          <w:lang w:val="en-US" w:eastAsia="zh-CN"/>
        </w:rPr>
        <w:t>专项工作推送表</w:t>
      </w:r>
      <w:r>
        <w:rPr>
          <w:rFonts w:hint="eastAsia" w:ascii="宋体" w:hAnsi="宋体" w:eastAsia="宋体" w:cs="宋体"/>
          <w:sz w:val="44"/>
          <w:szCs w:val="44"/>
          <w:lang w:val="en-US" w:eastAsia="zh-CN"/>
        </w:rPr>
        <w:br w:type="textWrapping"/>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973"/>
        <w:gridCol w:w="1290"/>
        <w:gridCol w:w="1365"/>
        <w:gridCol w:w="1005"/>
        <w:gridCol w:w="1334"/>
      </w:tblGrid>
      <w:tr w14:paraId="594B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53" w:type="dxa"/>
            <w:vAlign w:val="center"/>
          </w:tcPr>
          <w:p w14:paraId="1F18A2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建设工程</w:t>
            </w:r>
          </w:p>
        </w:tc>
        <w:tc>
          <w:tcPr>
            <w:tcW w:w="6967" w:type="dxa"/>
            <w:gridSpan w:val="5"/>
            <w:vAlign w:val="center"/>
          </w:tcPr>
          <w:p w14:paraId="4A5A67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r>
      <w:tr w14:paraId="6FF4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1553" w:type="dxa"/>
            <w:vAlign w:val="center"/>
          </w:tcPr>
          <w:p w14:paraId="544B27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完成情况</w:t>
            </w:r>
          </w:p>
        </w:tc>
        <w:tc>
          <w:tcPr>
            <w:tcW w:w="6967" w:type="dxa"/>
            <w:gridSpan w:val="5"/>
            <w:vAlign w:val="center"/>
          </w:tcPr>
          <w:p w14:paraId="66811F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r>
      <w:tr w14:paraId="7D79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553" w:type="dxa"/>
            <w:vAlign w:val="center"/>
          </w:tcPr>
          <w:p w14:paraId="3ADA5A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推送股室</w:t>
            </w:r>
          </w:p>
        </w:tc>
        <w:tc>
          <w:tcPr>
            <w:tcW w:w="1973" w:type="dxa"/>
            <w:vAlign w:val="center"/>
          </w:tcPr>
          <w:p w14:paraId="6CC6AA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c>
          <w:tcPr>
            <w:tcW w:w="1290" w:type="dxa"/>
            <w:vAlign w:val="center"/>
          </w:tcPr>
          <w:p w14:paraId="546F84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经办人签字</w:t>
            </w:r>
          </w:p>
        </w:tc>
        <w:tc>
          <w:tcPr>
            <w:tcW w:w="1365" w:type="dxa"/>
            <w:vAlign w:val="center"/>
          </w:tcPr>
          <w:p w14:paraId="01DAB0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c>
          <w:tcPr>
            <w:tcW w:w="1005" w:type="dxa"/>
            <w:vAlign w:val="center"/>
          </w:tcPr>
          <w:p w14:paraId="16CE8F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推送日期</w:t>
            </w:r>
          </w:p>
        </w:tc>
        <w:tc>
          <w:tcPr>
            <w:tcW w:w="1334" w:type="dxa"/>
            <w:vAlign w:val="center"/>
          </w:tcPr>
          <w:p w14:paraId="581874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r>
      <w:tr w14:paraId="6143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553" w:type="dxa"/>
            <w:vAlign w:val="center"/>
          </w:tcPr>
          <w:p w14:paraId="0DC765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接收股室</w:t>
            </w:r>
          </w:p>
        </w:tc>
        <w:tc>
          <w:tcPr>
            <w:tcW w:w="1973" w:type="dxa"/>
            <w:vAlign w:val="center"/>
          </w:tcPr>
          <w:p w14:paraId="4B07F0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c>
          <w:tcPr>
            <w:tcW w:w="1290" w:type="dxa"/>
            <w:vAlign w:val="center"/>
          </w:tcPr>
          <w:p w14:paraId="07FA23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经办人签字</w:t>
            </w:r>
          </w:p>
        </w:tc>
        <w:tc>
          <w:tcPr>
            <w:tcW w:w="1365" w:type="dxa"/>
            <w:vAlign w:val="center"/>
          </w:tcPr>
          <w:p w14:paraId="607FDB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c>
          <w:tcPr>
            <w:tcW w:w="1005" w:type="dxa"/>
            <w:vAlign w:val="center"/>
          </w:tcPr>
          <w:p w14:paraId="54F742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接收日期</w:t>
            </w:r>
          </w:p>
        </w:tc>
        <w:tc>
          <w:tcPr>
            <w:tcW w:w="1334" w:type="dxa"/>
            <w:vAlign w:val="center"/>
          </w:tcPr>
          <w:p w14:paraId="7873F5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r>
      <w:tr w14:paraId="4C79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553" w:type="dxa"/>
            <w:vAlign w:val="center"/>
          </w:tcPr>
          <w:p w14:paraId="340B43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c>
          <w:tcPr>
            <w:tcW w:w="6967" w:type="dxa"/>
            <w:gridSpan w:val="5"/>
            <w:vAlign w:val="center"/>
          </w:tcPr>
          <w:p w14:paraId="5FD009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r>
    </w:tbl>
    <w:p w14:paraId="007FE4F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32"/>
          <w:szCs w:val="32"/>
          <w:lang w:val="en-US" w:eastAsia="zh-CN"/>
        </w:rPr>
      </w:pPr>
    </w:p>
    <w:p w14:paraId="2B76DB1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32"/>
          <w:szCs w:val="32"/>
          <w:lang w:val="en-US" w:eastAsia="zh-CN"/>
        </w:rPr>
      </w:pPr>
    </w:p>
    <w:p w14:paraId="40B31F8D">
      <w:pPr>
        <w:numPr>
          <w:ilvl w:val="0"/>
          <w:numId w:val="0"/>
        </w:numPr>
        <w:rPr>
          <w:rFonts w:hint="default" w:ascii="仿宋" w:hAnsi="仿宋" w:eastAsia="仿宋" w:cs="仿宋"/>
          <w:sz w:val="32"/>
          <w:szCs w:val="32"/>
          <w:lang w:val="en-US" w:eastAsia="zh-CN"/>
        </w:rPr>
      </w:pPr>
    </w:p>
    <w:p w14:paraId="1B83979B">
      <w:pPr>
        <w:numPr>
          <w:ilvl w:val="0"/>
          <w:numId w:val="0"/>
        </w:numPr>
        <w:rPr>
          <w:rFonts w:hint="default" w:ascii="仿宋" w:hAnsi="仿宋" w:eastAsia="仿宋" w:cs="仿宋"/>
          <w:sz w:val="32"/>
          <w:szCs w:val="32"/>
          <w:lang w:val="en-US" w:eastAsia="zh-CN"/>
        </w:rPr>
      </w:pPr>
    </w:p>
    <w:p w14:paraId="2421371F">
      <w:pPr>
        <w:numPr>
          <w:ilvl w:val="0"/>
          <w:numId w:val="0"/>
        </w:numPr>
        <w:rPr>
          <w:rFonts w:hint="default" w:ascii="仿宋" w:hAnsi="仿宋" w:eastAsia="仿宋" w:cs="仿宋"/>
          <w:sz w:val="32"/>
          <w:szCs w:val="32"/>
          <w:lang w:val="en-US" w:eastAsia="zh-CN"/>
        </w:rPr>
      </w:pPr>
    </w:p>
    <w:p w14:paraId="3211565F">
      <w:pPr>
        <w:numPr>
          <w:ilvl w:val="0"/>
          <w:numId w:val="0"/>
        </w:num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DB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F97D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9F97D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D883E"/>
    <w:multiLevelType w:val="singleLevel"/>
    <w:tmpl w:val="9C5D883E"/>
    <w:lvl w:ilvl="0" w:tentative="0">
      <w:start w:val="5"/>
      <w:numFmt w:val="chineseCounting"/>
      <w:suff w:val="nothing"/>
      <w:lvlText w:val="%1、"/>
      <w:lvlJc w:val="left"/>
      <w:rPr>
        <w:rFonts w:hint="eastAsia"/>
      </w:rPr>
    </w:lvl>
  </w:abstractNum>
  <w:abstractNum w:abstractNumId="1">
    <w:nsid w:val="6CB35653"/>
    <w:multiLevelType w:val="singleLevel"/>
    <w:tmpl w:val="6CB356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YWYxOGZlODUwY2EzZTMzYTdiNzQ4NTBhZDY5NGEifQ=="/>
  </w:docVars>
  <w:rsids>
    <w:rsidRoot w:val="53FF5F44"/>
    <w:rsid w:val="02065537"/>
    <w:rsid w:val="03BB6210"/>
    <w:rsid w:val="04C2712A"/>
    <w:rsid w:val="06C54227"/>
    <w:rsid w:val="0803269B"/>
    <w:rsid w:val="082C5D12"/>
    <w:rsid w:val="0C7F5CF6"/>
    <w:rsid w:val="0CBA7131"/>
    <w:rsid w:val="0CBD4DA7"/>
    <w:rsid w:val="0D075692"/>
    <w:rsid w:val="0F086293"/>
    <w:rsid w:val="117F6ACF"/>
    <w:rsid w:val="11DF756D"/>
    <w:rsid w:val="133E02C4"/>
    <w:rsid w:val="13C22CA3"/>
    <w:rsid w:val="15A02E8E"/>
    <w:rsid w:val="168D3A3C"/>
    <w:rsid w:val="16B9038D"/>
    <w:rsid w:val="16C136E5"/>
    <w:rsid w:val="189270E7"/>
    <w:rsid w:val="1AA41743"/>
    <w:rsid w:val="1B43291B"/>
    <w:rsid w:val="1DB35686"/>
    <w:rsid w:val="229978D5"/>
    <w:rsid w:val="22E42C35"/>
    <w:rsid w:val="24E24F53"/>
    <w:rsid w:val="25AE752B"/>
    <w:rsid w:val="25D85CDB"/>
    <w:rsid w:val="29724BBB"/>
    <w:rsid w:val="2C091017"/>
    <w:rsid w:val="2EC90F31"/>
    <w:rsid w:val="31281367"/>
    <w:rsid w:val="34A044E2"/>
    <w:rsid w:val="35301D0A"/>
    <w:rsid w:val="386A0F04"/>
    <w:rsid w:val="393D67A4"/>
    <w:rsid w:val="3AFD00BE"/>
    <w:rsid w:val="3C1934F8"/>
    <w:rsid w:val="3D2075B5"/>
    <w:rsid w:val="3D6A78BA"/>
    <w:rsid w:val="3F8076E3"/>
    <w:rsid w:val="407D1B7C"/>
    <w:rsid w:val="41DE545E"/>
    <w:rsid w:val="425E2D0C"/>
    <w:rsid w:val="43A713E9"/>
    <w:rsid w:val="4401158F"/>
    <w:rsid w:val="445552E9"/>
    <w:rsid w:val="470434F5"/>
    <w:rsid w:val="47F67688"/>
    <w:rsid w:val="48657AC5"/>
    <w:rsid w:val="48CB3DCC"/>
    <w:rsid w:val="4A861667"/>
    <w:rsid w:val="4ACF7478"/>
    <w:rsid w:val="4B1A107D"/>
    <w:rsid w:val="4C622A0E"/>
    <w:rsid w:val="4E830CA5"/>
    <w:rsid w:val="4F153C7C"/>
    <w:rsid w:val="50772144"/>
    <w:rsid w:val="52EF7C31"/>
    <w:rsid w:val="53FF5F44"/>
    <w:rsid w:val="54B716A8"/>
    <w:rsid w:val="55B83309"/>
    <w:rsid w:val="56A65531"/>
    <w:rsid w:val="575136EE"/>
    <w:rsid w:val="57C55E8A"/>
    <w:rsid w:val="59814033"/>
    <w:rsid w:val="5C1967A5"/>
    <w:rsid w:val="5D2B2C34"/>
    <w:rsid w:val="5F4678B1"/>
    <w:rsid w:val="61222BFD"/>
    <w:rsid w:val="62410803"/>
    <w:rsid w:val="63DB12C3"/>
    <w:rsid w:val="65B34447"/>
    <w:rsid w:val="65BF0DE4"/>
    <w:rsid w:val="6679056C"/>
    <w:rsid w:val="68210EBB"/>
    <w:rsid w:val="69F20F61"/>
    <w:rsid w:val="6D374CDD"/>
    <w:rsid w:val="6E26547D"/>
    <w:rsid w:val="700B2B81"/>
    <w:rsid w:val="70455963"/>
    <w:rsid w:val="706E00C1"/>
    <w:rsid w:val="70C953A0"/>
    <w:rsid w:val="70D04D14"/>
    <w:rsid w:val="719B7F30"/>
    <w:rsid w:val="71A861A9"/>
    <w:rsid w:val="71FD5B3A"/>
    <w:rsid w:val="747405C4"/>
    <w:rsid w:val="76ED5033"/>
    <w:rsid w:val="770C71DA"/>
    <w:rsid w:val="776E1C43"/>
    <w:rsid w:val="78334ABE"/>
    <w:rsid w:val="792F71B0"/>
    <w:rsid w:val="79E85CDC"/>
    <w:rsid w:val="7A5C3FD5"/>
    <w:rsid w:val="7C374CF9"/>
    <w:rsid w:val="7D1A4D7B"/>
    <w:rsid w:val="7DD3140E"/>
    <w:rsid w:val="7E655B4E"/>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2125</Words>
  <Characters>2138</Characters>
  <Lines>0</Lines>
  <Paragraphs>0</Paragraphs>
  <TotalTime>9</TotalTime>
  <ScaleCrop>false</ScaleCrop>
  <LinksUpToDate>false</LinksUpToDate>
  <CharactersWithSpaces>2265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2024-08-12T13:14:00Z</dcterms:created>
  <dc:creator>楚楚宝贝</dc:creator>
  <cp:lastModifiedBy>Administrator</cp:lastModifiedBy>
  <dcterms:modified xsi:type="dcterms:W3CDTF">2024-10-31T01:48:07Z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63B4AA49D43B433E90FB0FAEA8E485F2_13</vt:lpwstr>
  </property>
</Properties>
</file>