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szCs w:val="44"/>
        </w:rPr>
      </w:pPr>
    </w:p>
    <w:p>
      <w:pPr>
        <w:spacing w:line="600" w:lineRule="exact"/>
        <w:jc w:val="center"/>
        <w:rPr>
          <w:rFonts w:hint="eastAsia" w:ascii="仿宋_GB2312"/>
        </w:rPr>
      </w:pPr>
      <w:bookmarkStart w:id="0" w:name="wh"/>
    </w:p>
    <w:p>
      <w:pPr>
        <w:spacing w:line="600" w:lineRule="exact"/>
        <w:jc w:val="center"/>
        <w:rPr>
          <w:rFonts w:hint="eastAsia" w:ascii="仿宋_GB2312"/>
        </w:rPr>
      </w:pPr>
    </w:p>
    <w:p>
      <w:pPr>
        <w:spacing w:line="600" w:lineRule="exact"/>
        <w:jc w:val="center"/>
        <w:rPr>
          <w:rFonts w:hint="eastAsia" w:eastAsia="方正小标宋简体"/>
          <w:sz w:val="44"/>
          <w:szCs w:val="44"/>
        </w:rPr>
      </w:pPr>
      <w:r>
        <w:rPr>
          <w:rFonts w:hint="eastAsia" w:ascii="仿宋_GB2312"/>
        </w:rPr>
        <w:t>长</w:t>
      </w:r>
      <w:r>
        <w:rPr>
          <w:rFonts w:hint="eastAsia" w:ascii="仿宋_GB2312"/>
          <w:lang w:eastAsia="zh-CN"/>
        </w:rPr>
        <w:t>上</w:t>
      </w:r>
      <w:r>
        <w:rPr>
          <w:rFonts w:hint="eastAsia" w:ascii="仿宋_GB2312"/>
        </w:rPr>
        <w:t>自然资发〔2022〕</w:t>
      </w:r>
      <w:r>
        <w:rPr>
          <w:rFonts w:hint="eastAsia" w:ascii="仿宋_GB2312"/>
          <w:lang w:val="en-US" w:eastAsia="zh-CN"/>
        </w:rPr>
        <w:t>88</w:t>
      </w:r>
      <w:r>
        <w:rPr>
          <w:rFonts w:hint="eastAsia" w:ascii="仿宋_GB2312"/>
        </w:rPr>
        <w:t>号</w:t>
      </w:r>
      <w:bookmarkEnd w:id="0"/>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长治市</w:t>
      </w:r>
      <w:r>
        <w:rPr>
          <w:rFonts w:hint="eastAsia" w:eastAsia="方正小标宋简体"/>
          <w:sz w:val="44"/>
          <w:szCs w:val="44"/>
          <w:lang w:eastAsia="zh-CN"/>
        </w:rPr>
        <w:t>上党区</w:t>
      </w:r>
      <w:r>
        <w:rPr>
          <w:rFonts w:hint="eastAsia" w:eastAsia="方正小标宋简体"/>
          <w:sz w:val="44"/>
          <w:szCs w:val="44"/>
        </w:rPr>
        <w:t>自然资源局</w:t>
      </w:r>
    </w:p>
    <w:p>
      <w:pPr>
        <w:spacing w:line="600" w:lineRule="exact"/>
        <w:jc w:val="center"/>
        <w:rPr>
          <w:rFonts w:eastAsia="方正小标宋简体"/>
          <w:sz w:val="44"/>
          <w:szCs w:val="44"/>
        </w:rPr>
      </w:pPr>
      <w:r>
        <w:rPr>
          <w:rFonts w:hint="eastAsia" w:eastAsia="方正小标宋简体"/>
          <w:sz w:val="44"/>
          <w:szCs w:val="44"/>
        </w:rPr>
        <w:t>关于印发《长治市</w:t>
      </w:r>
      <w:r>
        <w:rPr>
          <w:rFonts w:hint="eastAsia" w:eastAsia="方正小标宋简体"/>
          <w:sz w:val="44"/>
          <w:szCs w:val="44"/>
          <w:lang w:eastAsia="zh-CN"/>
        </w:rPr>
        <w:t>上党区</w:t>
      </w:r>
      <w:r>
        <w:rPr>
          <w:rFonts w:hint="eastAsia" w:eastAsia="方正小标宋简体"/>
          <w:sz w:val="44"/>
          <w:szCs w:val="44"/>
        </w:rPr>
        <w:t>自然资源领域市场主体倍增工程工作方案》的通知</w:t>
      </w:r>
    </w:p>
    <w:p>
      <w:pPr>
        <w:pStyle w:val="2"/>
        <w:spacing w:before="0" w:beforeAutospacing="0" w:after="0" w:afterAutospacing="0" w:line="520" w:lineRule="exact"/>
      </w:pPr>
    </w:p>
    <w:p>
      <w:pPr>
        <w:widowControl/>
        <w:spacing w:line="520" w:lineRule="exact"/>
        <w:jc w:val="left"/>
        <w:rPr>
          <w:rFonts w:ascii="仿宋_GB2312" w:hAnsi="仿宋_GB2312" w:cs="仿宋_GB2312"/>
          <w:szCs w:val="32"/>
        </w:rPr>
      </w:pPr>
      <w:r>
        <w:rPr>
          <w:rFonts w:hint="eastAsia" w:ascii="仿宋_GB2312" w:hAnsi="仿宋_GB2312" w:cs="仿宋_GB2312"/>
          <w:szCs w:val="32"/>
        </w:rPr>
        <w:t>各</w:t>
      </w:r>
      <w:r>
        <w:rPr>
          <w:rFonts w:hint="eastAsia" w:ascii="仿宋_GB2312" w:hAnsi="仿宋_GB2312" w:cs="仿宋_GB2312"/>
          <w:szCs w:val="32"/>
          <w:lang w:eastAsia="zh-CN"/>
        </w:rPr>
        <w:t>股室、事业单位、</w:t>
      </w:r>
      <w:r>
        <w:rPr>
          <w:rFonts w:hint="eastAsia" w:ascii="仿宋_GB2312" w:hAnsi="仿宋_GB2312" w:cs="仿宋_GB2312"/>
          <w:szCs w:val="32"/>
        </w:rPr>
        <w:t>自然资源</w:t>
      </w:r>
      <w:r>
        <w:rPr>
          <w:rFonts w:hint="eastAsia" w:ascii="仿宋_GB2312" w:hAnsi="仿宋_GB2312" w:cs="仿宋_GB2312"/>
          <w:szCs w:val="32"/>
          <w:lang w:eastAsia="zh-CN"/>
        </w:rPr>
        <w:t>所：</w:t>
      </w:r>
    </w:p>
    <w:p>
      <w:pPr>
        <w:widowControl/>
        <w:spacing w:line="520" w:lineRule="exact"/>
        <w:ind w:firstLine="640" w:firstLineChars="200"/>
        <w:jc w:val="left"/>
        <w:rPr>
          <w:rFonts w:ascii="仿宋_GB2312" w:hAnsi="仿宋_GB2312" w:cs="仿宋_GB2312"/>
          <w:bCs/>
          <w:szCs w:val="32"/>
        </w:rPr>
      </w:pPr>
      <w:r>
        <w:rPr>
          <w:rFonts w:hint="eastAsia" w:ascii="仿宋_GB2312" w:hAnsi="仿宋_GB2312" w:cs="仿宋_GB2312"/>
          <w:szCs w:val="32"/>
        </w:rPr>
        <w:t>根据</w:t>
      </w:r>
      <w:r>
        <w:rPr>
          <w:rFonts w:hint="eastAsia" w:ascii="仿宋_GB2312" w:hAnsi="仿宋_GB2312" w:cs="仿宋_GB2312"/>
          <w:szCs w:val="32"/>
          <w:lang w:eastAsia="zh-CN"/>
        </w:rPr>
        <w:t>区</w:t>
      </w:r>
      <w:r>
        <w:rPr>
          <w:rFonts w:hint="eastAsia" w:ascii="仿宋_GB2312" w:hAnsi="仿宋_GB2312" w:cs="仿宋_GB2312"/>
          <w:szCs w:val="32"/>
        </w:rPr>
        <w:t>委</w:t>
      </w:r>
      <w:r>
        <w:rPr>
          <w:rFonts w:hint="eastAsia" w:ascii="仿宋_GB2312" w:hAnsi="仿宋_GB2312" w:cs="仿宋_GB2312"/>
          <w:szCs w:val="32"/>
          <w:lang w:eastAsia="zh-CN"/>
        </w:rPr>
        <w:t>、区政府、市规划和自然资源局</w:t>
      </w:r>
      <w:r>
        <w:rPr>
          <w:rFonts w:hint="eastAsia" w:ascii="仿宋_GB2312" w:hAnsi="仿宋_GB2312" w:cs="仿宋_GB2312"/>
          <w:szCs w:val="32"/>
        </w:rPr>
        <w:t>关于市场主体倍增工程的安排部署，现制定《长治市</w:t>
      </w:r>
      <w:r>
        <w:rPr>
          <w:rFonts w:hint="eastAsia" w:ascii="仿宋_GB2312" w:hAnsi="仿宋_GB2312" w:cs="仿宋_GB2312"/>
          <w:szCs w:val="32"/>
          <w:lang w:eastAsia="zh-CN"/>
        </w:rPr>
        <w:t>上党区</w:t>
      </w:r>
      <w:r>
        <w:rPr>
          <w:rFonts w:hint="eastAsia" w:ascii="仿宋_GB2312" w:hAnsi="仿宋_GB2312" w:cs="仿宋_GB2312"/>
          <w:szCs w:val="32"/>
        </w:rPr>
        <w:t>自然资源领域推进市场主体倍增工程工作方案》</w:t>
      </w:r>
      <w:r>
        <w:rPr>
          <w:rFonts w:hint="eastAsia" w:ascii="仿宋_GB2312" w:hAnsi="仿宋_GB2312" w:cs="仿宋_GB2312"/>
          <w:bCs/>
          <w:szCs w:val="32"/>
        </w:rPr>
        <w:t>，印发给你们，请认真贯彻执行。</w:t>
      </w:r>
    </w:p>
    <w:p>
      <w:pPr>
        <w:widowControl/>
        <w:spacing w:line="520" w:lineRule="exact"/>
        <w:ind w:firstLine="640" w:firstLineChars="200"/>
        <w:jc w:val="left"/>
        <w:rPr>
          <w:szCs w:val="32"/>
        </w:rPr>
      </w:pPr>
    </w:p>
    <w:p>
      <w:pPr>
        <w:widowControl/>
        <w:spacing w:line="520" w:lineRule="exact"/>
        <w:ind w:firstLine="640" w:firstLineChars="200"/>
        <w:jc w:val="left"/>
        <w:rPr>
          <w:szCs w:val="32"/>
        </w:rPr>
      </w:pPr>
    </w:p>
    <w:p>
      <w:pPr>
        <w:widowControl/>
        <w:spacing w:line="520" w:lineRule="exact"/>
        <w:ind w:firstLine="640" w:firstLineChars="200"/>
        <w:jc w:val="left"/>
        <w:rPr>
          <w:szCs w:val="32"/>
        </w:rPr>
      </w:pPr>
    </w:p>
    <w:p>
      <w:pPr>
        <w:widowControl/>
        <w:spacing w:line="520" w:lineRule="exact"/>
        <w:ind w:firstLine="640" w:firstLineChars="200"/>
        <w:jc w:val="left"/>
        <w:rPr>
          <w:szCs w:val="32"/>
        </w:rPr>
      </w:pPr>
    </w:p>
    <w:p>
      <w:pPr>
        <w:spacing w:line="520" w:lineRule="exact"/>
        <w:ind w:firstLine="4467" w:firstLineChars="1396"/>
        <w:rPr>
          <w:szCs w:val="32"/>
        </w:rPr>
      </w:pPr>
      <w:r>
        <w:rPr>
          <w:rFonts w:hint="eastAsia"/>
          <w:szCs w:val="32"/>
        </w:rPr>
        <w:t>长治市</w:t>
      </w:r>
      <w:r>
        <w:rPr>
          <w:rFonts w:hint="eastAsia"/>
          <w:szCs w:val="32"/>
          <w:lang w:eastAsia="zh-CN"/>
        </w:rPr>
        <w:t>上党区</w:t>
      </w:r>
      <w:r>
        <w:rPr>
          <w:rFonts w:hint="eastAsia"/>
          <w:szCs w:val="32"/>
        </w:rPr>
        <w:t>自然资源局</w:t>
      </w:r>
    </w:p>
    <w:p>
      <w:pPr>
        <w:spacing w:line="520" w:lineRule="exact"/>
        <w:ind w:firstLine="320" w:firstLineChars="100"/>
        <w:rPr>
          <w:szCs w:val="32"/>
        </w:rPr>
      </w:pPr>
      <w:r>
        <w:rPr>
          <w:szCs w:val="32"/>
        </w:rPr>
        <w:t xml:space="preserve">                        </w:t>
      </w:r>
      <w:r>
        <w:rPr>
          <w:rFonts w:hint="eastAsia"/>
          <w:szCs w:val="32"/>
        </w:rPr>
        <w:t xml:space="preserve">    </w:t>
      </w:r>
      <w:r>
        <w:rPr>
          <w:szCs w:val="32"/>
        </w:rPr>
        <w:t xml:space="preserve"> 2022</w:t>
      </w:r>
      <w:r>
        <w:rPr>
          <w:rFonts w:hint="eastAsia"/>
          <w:szCs w:val="32"/>
        </w:rPr>
        <w:t>年</w:t>
      </w:r>
      <w:r>
        <w:rPr>
          <w:szCs w:val="32"/>
        </w:rPr>
        <w:t>5</w:t>
      </w:r>
      <w:r>
        <w:rPr>
          <w:rFonts w:hint="eastAsia"/>
          <w:szCs w:val="32"/>
        </w:rPr>
        <w:t>月</w:t>
      </w:r>
      <w:r>
        <w:rPr>
          <w:rFonts w:hint="eastAsia"/>
          <w:szCs w:val="32"/>
          <w:lang w:val="en-US" w:eastAsia="zh-CN"/>
        </w:rPr>
        <w:t>20</w:t>
      </w:r>
      <w:r>
        <w:rPr>
          <w:rFonts w:hint="eastAsia"/>
          <w:szCs w:val="32"/>
        </w:rPr>
        <w:t>日</w:t>
      </w:r>
    </w:p>
    <w:p>
      <w:pPr>
        <w:spacing w:line="520" w:lineRule="exact"/>
        <w:ind w:firstLine="880" w:firstLineChars="200"/>
        <w:rPr>
          <w:rFonts w:eastAsia="方正小标宋简体"/>
          <w:sz w:val="44"/>
          <w:szCs w:val="44"/>
        </w:rPr>
      </w:pPr>
      <w:r>
        <w:rPr>
          <w:rFonts w:eastAsia="方正小标宋简体"/>
          <w:sz w:val="44"/>
          <w:szCs w:val="44"/>
        </w:rPr>
        <w:br w:type="page"/>
      </w:r>
    </w:p>
    <w:p>
      <w:pPr>
        <w:pStyle w:val="5"/>
        <w:spacing w:line="560" w:lineRule="exact"/>
        <w:ind w:left="0" w:left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长治市</w:t>
      </w:r>
      <w:r>
        <w:rPr>
          <w:rFonts w:hint="eastAsia" w:ascii="Times New Roman" w:hAnsi="Times New Roman" w:eastAsia="方正小标宋简体"/>
          <w:sz w:val="44"/>
          <w:szCs w:val="44"/>
          <w:lang w:eastAsia="zh-CN"/>
        </w:rPr>
        <w:t>上党区</w:t>
      </w:r>
      <w:r>
        <w:rPr>
          <w:rFonts w:hint="eastAsia" w:ascii="Times New Roman" w:hAnsi="Times New Roman" w:eastAsia="方正小标宋简体"/>
          <w:sz w:val="44"/>
          <w:szCs w:val="44"/>
        </w:rPr>
        <w:t>自然资源领域</w:t>
      </w:r>
    </w:p>
    <w:p>
      <w:pPr>
        <w:spacing w:line="560" w:lineRule="exact"/>
        <w:jc w:val="center"/>
        <w:rPr>
          <w:rFonts w:eastAsia="方正小标宋简体"/>
          <w:sz w:val="44"/>
          <w:szCs w:val="44"/>
        </w:rPr>
      </w:pPr>
      <w:r>
        <w:rPr>
          <w:rFonts w:hint="eastAsia" w:eastAsia="方正小标宋简体"/>
          <w:sz w:val="44"/>
          <w:szCs w:val="44"/>
        </w:rPr>
        <w:t>推进市场主体倍增工程工作方案</w:t>
      </w:r>
    </w:p>
    <w:p>
      <w:pPr>
        <w:spacing w:line="560" w:lineRule="exact"/>
        <w:jc w:val="center"/>
        <w:rPr>
          <w:rFonts w:eastAsia="方正小标宋简体"/>
          <w:sz w:val="44"/>
          <w:szCs w:val="44"/>
        </w:rPr>
      </w:pPr>
    </w:p>
    <w:p>
      <w:pPr>
        <w:widowControl/>
        <w:spacing w:line="560" w:lineRule="exact"/>
        <w:ind w:firstLine="640" w:firstLineChars="200"/>
        <w:rPr>
          <w:rFonts w:hint="eastAsia" w:ascii="仿宋_GB2312"/>
          <w:bCs/>
          <w:color w:val="000000"/>
          <w:szCs w:val="32"/>
        </w:rPr>
      </w:pPr>
      <w:r>
        <w:rPr>
          <w:rFonts w:hint="eastAsia" w:ascii="仿宋_GB2312" w:hAnsi="仿宋_GB2312" w:cs="仿宋_GB2312"/>
          <w:color w:val="000000"/>
          <w:szCs w:val="32"/>
        </w:rPr>
        <w:t>为深入贯彻落实</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委</w:t>
      </w:r>
      <w:r>
        <w:rPr>
          <w:rFonts w:hint="eastAsia" w:ascii="仿宋_GB2312" w:hAnsi="仿宋_GB2312" w:cs="仿宋_GB2312"/>
          <w:color w:val="000000"/>
          <w:szCs w:val="32"/>
          <w:lang w:eastAsia="zh-CN"/>
        </w:rPr>
        <w:t>、区政府和市规划和自然资源局</w:t>
      </w:r>
      <w:r>
        <w:rPr>
          <w:rFonts w:hint="eastAsia" w:ascii="仿宋_GB2312" w:hAnsi="仿宋_GB2312" w:cs="仿宋_GB2312"/>
          <w:color w:val="000000"/>
          <w:szCs w:val="32"/>
        </w:rPr>
        <w:t>关于大力培育市场主体、实施市场主体倍增工程的安排部署，扎实推进我</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自然资源领域市场主体倍增工程，</w:t>
      </w:r>
      <w:r>
        <w:rPr>
          <w:rFonts w:hint="eastAsia"/>
          <w:bCs/>
          <w:color w:val="000000"/>
          <w:szCs w:val="32"/>
        </w:rPr>
        <w:t>根据《中共长治市</w:t>
      </w:r>
      <w:r>
        <w:rPr>
          <w:rFonts w:hint="eastAsia"/>
          <w:bCs/>
          <w:color w:val="000000"/>
          <w:szCs w:val="32"/>
          <w:lang w:eastAsia="zh-CN"/>
        </w:rPr>
        <w:t>上党区</w:t>
      </w:r>
      <w:r>
        <w:rPr>
          <w:rFonts w:hint="eastAsia"/>
          <w:bCs/>
          <w:color w:val="000000"/>
          <w:szCs w:val="32"/>
        </w:rPr>
        <w:t>委</w:t>
      </w:r>
      <w:r>
        <w:rPr>
          <w:bCs/>
          <w:color w:val="000000"/>
          <w:szCs w:val="32"/>
        </w:rPr>
        <w:t xml:space="preserve"> </w:t>
      </w:r>
      <w:r>
        <w:rPr>
          <w:rFonts w:hint="eastAsia"/>
          <w:bCs/>
          <w:color w:val="000000"/>
          <w:szCs w:val="32"/>
        </w:rPr>
        <w:t>长治市</w:t>
      </w:r>
      <w:r>
        <w:rPr>
          <w:rFonts w:hint="eastAsia"/>
          <w:bCs/>
          <w:color w:val="000000"/>
          <w:szCs w:val="32"/>
          <w:lang w:eastAsia="zh-CN"/>
        </w:rPr>
        <w:t>上党区</w:t>
      </w:r>
      <w:r>
        <w:rPr>
          <w:rFonts w:hint="eastAsia"/>
          <w:bCs/>
          <w:color w:val="000000"/>
          <w:szCs w:val="32"/>
        </w:rPr>
        <w:t>人民政</w:t>
      </w:r>
      <w:r>
        <w:rPr>
          <w:rFonts w:hint="eastAsia" w:ascii="仿宋_GB2312"/>
          <w:bCs/>
          <w:color w:val="000000"/>
          <w:szCs w:val="32"/>
        </w:rPr>
        <w:t>府关于印发长治市</w:t>
      </w:r>
      <w:r>
        <w:rPr>
          <w:rFonts w:hint="eastAsia" w:ascii="仿宋_GB2312"/>
          <w:bCs/>
          <w:color w:val="000000"/>
          <w:szCs w:val="32"/>
          <w:lang w:eastAsia="zh-CN"/>
        </w:rPr>
        <w:t>上党区</w:t>
      </w:r>
      <w:r>
        <w:rPr>
          <w:rFonts w:hint="eastAsia" w:ascii="仿宋_GB2312"/>
          <w:bCs/>
          <w:color w:val="000000"/>
          <w:szCs w:val="32"/>
        </w:rPr>
        <w:t>市场主体倍增工程工作方案的通知》（长</w:t>
      </w:r>
      <w:r>
        <w:rPr>
          <w:rFonts w:hint="eastAsia" w:ascii="仿宋_GB2312"/>
          <w:bCs/>
          <w:color w:val="000000"/>
          <w:szCs w:val="32"/>
          <w:lang w:eastAsia="zh-CN"/>
        </w:rPr>
        <w:t>上</w:t>
      </w:r>
      <w:r>
        <w:rPr>
          <w:rFonts w:hint="eastAsia" w:ascii="仿宋_GB2312"/>
          <w:bCs/>
          <w:color w:val="000000"/>
          <w:szCs w:val="32"/>
        </w:rPr>
        <w:t>发〔2022〕</w:t>
      </w:r>
      <w:r>
        <w:rPr>
          <w:rFonts w:hint="eastAsia" w:ascii="仿宋_GB2312"/>
          <w:bCs/>
          <w:color w:val="000000"/>
          <w:szCs w:val="32"/>
          <w:lang w:val="en-US" w:eastAsia="zh-CN"/>
        </w:rPr>
        <w:t>10</w:t>
      </w:r>
      <w:r>
        <w:rPr>
          <w:rFonts w:hint="eastAsia" w:ascii="仿宋_GB2312"/>
          <w:bCs/>
          <w:color w:val="000000"/>
          <w:szCs w:val="32"/>
        </w:rPr>
        <w:t>号）、《</w:t>
      </w:r>
      <w:r>
        <w:rPr>
          <w:rFonts w:hint="eastAsia" w:ascii="仿宋_GB2312"/>
          <w:bCs/>
          <w:color w:val="000000"/>
          <w:szCs w:val="32"/>
          <w:lang w:eastAsia="zh-CN"/>
        </w:rPr>
        <w:t>长治市规划和</w:t>
      </w:r>
      <w:r>
        <w:rPr>
          <w:rFonts w:hint="eastAsia" w:ascii="仿宋_GB2312"/>
          <w:bCs/>
          <w:color w:val="000000"/>
          <w:szCs w:val="32"/>
          <w:lang w:val="en-US" w:eastAsia="zh-CN"/>
        </w:rPr>
        <w:t>自然</w:t>
      </w:r>
      <w:bookmarkStart w:id="1" w:name="_GoBack"/>
      <w:bookmarkEnd w:id="1"/>
      <w:r>
        <w:rPr>
          <w:rFonts w:hint="eastAsia" w:ascii="仿宋_GB2312"/>
          <w:bCs/>
          <w:color w:val="000000"/>
          <w:szCs w:val="32"/>
          <w:lang w:eastAsia="zh-CN"/>
        </w:rPr>
        <w:t>资源局关于</w:t>
      </w:r>
      <w:r>
        <w:rPr>
          <w:rFonts w:hint="eastAsia" w:ascii="仿宋_GB2312"/>
          <w:bCs/>
          <w:color w:val="000000"/>
          <w:szCs w:val="32"/>
        </w:rPr>
        <w:t>印发</w:t>
      </w:r>
      <w:r>
        <w:rPr>
          <w:rFonts w:hint="eastAsia" w:ascii="仿宋_GB2312"/>
          <w:bCs/>
          <w:color w:val="000000"/>
          <w:szCs w:val="32"/>
          <w:lang w:eastAsia="zh-CN"/>
        </w:rPr>
        <w:t>长治市</w:t>
      </w:r>
      <w:r>
        <w:rPr>
          <w:rFonts w:hint="eastAsia" w:ascii="仿宋_GB2312"/>
          <w:bCs/>
          <w:color w:val="000000"/>
          <w:szCs w:val="32"/>
        </w:rPr>
        <w:t>自然资源领域市场主体倍增工程</w:t>
      </w:r>
      <w:r>
        <w:rPr>
          <w:rFonts w:hint="eastAsia" w:ascii="仿宋_GB2312"/>
          <w:bCs/>
          <w:color w:val="000000"/>
          <w:szCs w:val="32"/>
          <w:lang w:eastAsia="zh-CN"/>
        </w:rPr>
        <w:t>工作</w:t>
      </w:r>
      <w:r>
        <w:rPr>
          <w:rFonts w:hint="eastAsia" w:ascii="仿宋_GB2312"/>
          <w:bCs/>
          <w:color w:val="000000"/>
          <w:szCs w:val="32"/>
        </w:rPr>
        <w:t>方案的通知》（</w:t>
      </w:r>
      <w:r>
        <w:rPr>
          <w:rFonts w:hint="eastAsia" w:ascii="仿宋_GB2312"/>
          <w:bCs/>
          <w:color w:val="000000"/>
          <w:szCs w:val="32"/>
          <w:lang w:eastAsia="zh-CN"/>
        </w:rPr>
        <w:t>长</w:t>
      </w:r>
      <w:r>
        <w:rPr>
          <w:rFonts w:hint="eastAsia" w:ascii="仿宋_GB2312"/>
          <w:bCs/>
          <w:color w:val="000000"/>
          <w:szCs w:val="32"/>
        </w:rPr>
        <w:t>自然资发〔202</w:t>
      </w:r>
      <w:r>
        <w:rPr>
          <w:rFonts w:hint="eastAsia" w:ascii="仿宋_GB2312"/>
          <w:bCs/>
          <w:color w:val="000000"/>
          <w:szCs w:val="32"/>
          <w:lang w:val="en-US" w:eastAsia="zh-CN"/>
        </w:rPr>
        <w:t>2</w:t>
      </w:r>
      <w:r>
        <w:rPr>
          <w:rFonts w:hint="eastAsia" w:ascii="仿宋_GB2312"/>
          <w:bCs/>
          <w:color w:val="000000"/>
          <w:szCs w:val="32"/>
        </w:rPr>
        <w:t>〕</w:t>
      </w:r>
      <w:r>
        <w:rPr>
          <w:rFonts w:hint="eastAsia" w:ascii="仿宋_GB2312"/>
          <w:bCs/>
          <w:color w:val="000000"/>
          <w:szCs w:val="32"/>
          <w:lang w:val="en-US" w:eastAsia="zh-CN"/>
        </w:rPr>
        <w:t>62</w:t>
      </w:r>
      <w:r>
        <w:rPr>
          <w:rFonts w:hint="eastAsia" w:ascii="仿宋_GB2312"/>
          <w:bCs/>
          <w:color w:val="000000"/>
          <w:szCs w:val="32"/>
        </w:rPr>
        <w:t>号）等文件要求，结合我</w:t>
      </w:r>
      <w:r>
        <w:rPr>
          <w:rFonts w:hint="eastAsia" w:ascii="仿宋_GB2312"/>
          <w:bCs/>
          <w:color w:val="000000"/>
          <w:szCs w:val="32"/>
          <w:lang w:eastAsia="zh-CN"/>
        </w:rPr>
        <w:t>区</w:t>
      </w:r>
      <w:r>
        <w:rPr>
          <w:rFonts w:hint="eastAsia" w:ascii="仿宋_GB2312"/>
          <w:bCs/>
          <w:color w:val="000000"/>
          <w:szCs w:val="32"/>
        </w:rPr>
        <w:t>自然资源领域实际，制定本方案。</w:t>
      </w:r>
    </w:p>
    <w:p>
      <w:pPr>
        <w:widowControl/>
        <w:numPr>
          <w:ilvl w:val="0"/>
          <w:numId w:val="1"/>
        </w:numPr>
        <w:spacing w:line="560" w:lineRule="exact"/>
        <w:ind w:firstLine="640" w:firstLineChars="200"/>
        <w:rPr>
          <w:rFonts w:ascii="黑体" w:hAnsi="黑体" w:eastAsia="黑体" w:cs="黑体"/>
          <w:bCs/>
          <w:color w:val="000000"/>
          <w:szCs w:val="32"/>
        </w:rPr>
      </w:pPr>
      <w:r>
        <w:rPr>
          <w:rFonts w:hint="eastAsia" w:ascii="黑体" w:hAnsi="黑体" w:eastAsia="黑体" w:cs="黑体"/>
          <w:bCs/>
          <w:color w:val="000000"/>
          <w:szCs w:val="32"/>
        </w:rPr>
        <w:t>指导思想</w:t>
      </w:r>
    </w:p>
    <w:p>
      <w:pPr>
        <w:widowControl/>
        <w:spacing w:line="560" w:lineRule="exact"/>
        <w:rPr>
          <w:rFonts w:ascii="仿宋_GB2312" w:hAnsi="仿宋_GB2312" w:cs="仿宋_GB2312"/>
          <w:color w:val="000000"/>
          <w:szCs w:val="32"/>
        </w:rPr>
      </w:pPr>
      <w:r>
        <w:rPr>
          <w:rFonts w:ascii="黑体" w:hAnsi="黑体" w:eastAsia="黑体" w:cs="黑体"/>
          <w:bCs/>
          <w:color w:val="000000"/>
          <w:szCs w:val="32"/>
        </w:rPr>
        <w:t xml:space="preserve">  </w:t>
      </w:r>
      <w:r>
        <w:rPr>
          <w:rFonts w:ascii="仿宋_GB2312" w:hAnsi="仿宋_GB2312" w:cs="仿宋_GB2312"/>
          <w:color w:val="000000"/>
          <w:szCs w:val="32"/>
        </w:rPr>
        <w:t xml:space="preserve">  </w:t>
      </w:r>
      <w:r>
        <w:rPr>
          <w:rFonts w:hint="eastAsia" w:ascii="仿宋_GB2312" w:hAnsi="仿宋_GB2312" w:cs="仿宋_GB2312"/>
          <w:color w:val="000000"/>
          <w:szCs w:val="32"/>
        </w:rPr>
        <w:t>以习近平新时代中国特色社会主义思想为指导,全面贯彻落实党的十九大和十九届历次全会精神，认真落实</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委</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政府、</w:t>
      </w:r>
      <w:r>
        <w:rPr>
          <w:rFonts w:hint="eastAsia" w:ascii="仿宋_GB2312" w:hAnsi="仿宋_GB2312" w:cs="仿宋_GB2312"/>
          <w:color w:val="000000"/>
          <w:szCs w:val="32"/>
          <w:lang w:eastAsia="zh-CN"/>
        </w:rPr>
        <w:t>市规划和</w:t>
      </w:r>
      <w:r>
        <w:rPr>
          <w:rFonts w:hint="eastAsia" w:ascii="仿宋_GB2312" w:hAnsi="仿宋_GB2312" w:cs="仿宋_GB2312"/>
          <w:color w:val="000000"/>
          <w:szCs w:val="32"/>
        </w:rPr>
        <w:t>自然资源</w:t>
      </w:r>
      <w:r>
        <w:rPr>
          <w:rFonts w:hint="eastAsia" w:ascii="仿宋_GB2312" w:hAnsi="仿宋_GB2312" w:cs="仿宋_GB2312"/>
          <w:color w:val="000000"/>
          <w:szCs w:val="32"/>
          <w:lang w:eastAsia="zh-CN"/>
        </w:rPr>
        <w:t>局</w:t>
      </w:r>
      <w:r>
        <w:rPr>
          <w:rFonts w:hint="eastAsia" w:ascii="仿宋_GB2312" w:hAnsi="仿宋_GB2312" w:cs="仿宋_GB2312"/>
          <w:color w:val="000000"/>
          <w:szCs w:val="32"/>
        </w:rPr>
        <w:t>决策部署，立足我</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自然资源事业高质量发展实际，大力培育市场主体，不断激发市场活力，加速产业聚集和经济倍增，奋力开创自然资源领域提质赋能的崭新局面。</w:t>
      </w:r>
    </w:p>
    <w:p>
      <w:pPr>
        <w:widowControl/>
        <w:numPr>
          <w:ilvl w:val="0"/>
          <w:numId w:val="1"/>
        </w:numPr>
        <w:spacing w:line="560" w:lineRule="exact"/>
        <w:ind w:firstLine="640" w:firstLineChars="200"/>
        <w:rPr>
          <w:rFonts w:ascii="黑体" w:hAnsi="黑体" w:eastAsia="黑体" w:cs="黑体"/>
          <w:bCs/>
          <w:color w:val="000000"/>
          <w:szCs w:val="32"/>
        </w:rPr>
      </w:pPr>
      <w:r>
        <w:rPr>
          <w:rFonts w:hint="eastAsia" w:ascii="黑体" w:hAnsi="黑体" w:eastAsia="黑体" w:cs="黑体"/>
          <w:bCs/>
          <w:color w:val="000000"/>
          <w:szCs w:val="32"/>
        </w:rPr>
        <w:t>主要目标</w:t>
      </w:r>
    </w:p>
    <w:p>
      <w:pPr>
        <w:widowControl/>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通过系统梳理自然资源领域支持市场主体发展措施和全面分析我</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自然资源领域发展现状，从国土空间规划、提供用地保障、推进绿色矿业发展、加强国土空间生态修复、推进房屋产权登记、深化“标准地”改革、提升行政审批效率、维护资源开发利用秩序等方面着手，进一步解放思想、深入研究、迅速行动，落实市场主体培育发展政策举措，为我</w:t>
      </w:r>
      <w:r>
        <w:rPr>
          <w:rFonts w:hint="eastAsia" w:ascii="仿宋_GB2312" w:hAnsi="仿宋_GB2312" w:cs="仿宋_GB2312"/>
          <w:color w:val="000000"/>
          <w:szCs w:val="32"/>
          <w:lang w:eastAsia="zh-CN"/>
        </w:rPr>
        <w:t>区</w:t>
      </w:r>
      <w:r>
        <w:rPr>
          <w:rFonts w:hint="eastAsia" w:ascii="仿宋_GB2312" w:hAnsi="仿宋_GB2312" w:cs="仿宋_GB2312"/>
          <w:color w:val="000000"/>
          <w:szCs w:val="32"/>
        </w:rPr>
        <w:t>推进市场主体倍增工程提供有力支撑。</w:t>
      </w:r>
    </w:p>
    <w:p>
      <w:pPr>
        <w:widowControl/>
        <w:numPr>
          <w:ilvl w:val="0"/>
          <w:numId w:val="1"/>
        </w:numPr>
        <w:spacing w:line="560" w:lineRule="exact"/>
        <w:ind w:firstLine="640" w:firstLineChars="200"/>
        <w:rPr>
          <w:rFonts w:ascii="黑体" w:hAnsi="黑体" w:eastAsia="黑体" w:cs="黑体"/>
          <w:bCs/>
          <w:color w:val="000000"/>
          <w:szCs w:val="32"/>
        </w:rPr>
      </w:pPr>
      <w:r>
        <w:rPr>
          <w:rFonts w:hint="eastAsia" w:ascii="黑体" w:hAnsi="黑体" w:eastAsia="黑体" w:cs="黑体"/>
          <w:bCs/>
          <w:color w:val="000000"/>
          <w:szCs w:val="32"/>
        </w:rPr>
        <w:t>工作原则</w:t>
      </w:r>
    </w:p>
    <w:p>
      <w:pPr>
        <w:widowControl/>
        <w:spacing w:line="560" w:lineRule="exact"/>
        <w:ind w:firstLine="640"/>
        <w:rPr>
          <w:rFonts w:ascii="仿宋_GB2312" w:hAnsi="仿宋_GB2312" w:cs="仿宋_GB2312"/>
          <w:bCs/>
          <w:color w:val="000000"/>
          <w:szCs w:val="32"/>
        </w:rPr>
      </w:pPr>
      <w:r>
        <w:rPr>
          <w:rFonts w:hint="eastAsia" w:ascii="楷体_GB2312" w:hAnsi="楷体_GB2312" w:eastAsia="楷体_GB2312" w:cs="楷体_GB2312"/>
          <w:bCs/>
          <w:color w:val="000000"/>
          <w:szCs w:val="32"/>
        </w:rPr>
        <w:t>（一）坚持市场主导。</w:t>
      </w:r>
      <w:r>
        <w:rPr>
          <w:rFonts w:hint="eastAsia" w:ascii="仿宋_GB2312" w:hAnsi="仿宋_GB2312" w:cs="仿宋_GB2312"/>
          <w:bCs/>
          <w:color w:val="000000"/>
          <w:szCs w:val="32"/>
        </w:rPr>
        <w:t>聚焦自然资源领域市场主体需求关切，充分发挥市场在资源配置中的决定性作用，更好发挥政府作用，不断增强经济发展内在动力，激发市场主体创造力。</w:t>
      </w:r>
    </w:p>
    <w:p>
      <w:pPr>
        <w:widowControl/>
        <w:spacing w:line="560" w:lineRule="exact"/>
        <w:ind w:firstLine="640"/>
        <w:rPr>
          <w:rFonts w:ascii="仿宋_GB2312" w:hAnsi="仿宋_GB2312" w:cs="仿宋_GB2312"/>
          <w:bCs/>
          <w:color w:val="000000"/>
          <w:szCs w:val="32"/>
        </w:rPr>
      </w:pPr>
      <w:r>
        <w:rPr>
          <w:rFonts w:hint="eastAsia" w:ascii="楷体_GB2312" w:hAnsi="楷体_GB2312" w:eastAsia="楷体_GB2312" w:cs="楷体_GB2312"/>
          <w:bCs/>
          <w:color w:val="000000"/>
          <w:szCs w:val="32"/>
        </w:rPr>
        <w:t>（二）强化精准施策。</w:t>
      </w:r>
      <w:r>
        <w:rPr>
          <w:rFonts w:hint="eastAsia" w:ascii="仿宋_GB2312" w:hAnsi="仿宋_GB2312" w:cs="仿宋_GB2312"/>
          <w:bCs/>
          <w:color w:val="000000"/>
          <w:szCs w:val="32"/>
        </w:rPr>
        <w:t>遵循市场规律，坚持问题导向，深入调查研究，完善产业支持政策，优化产业布局，着力打通产业发展关键环节，统筹推进产业优化升级和市场主体培育壮大。</w:t>
      </w:r>
    </w:p>
    <w:p>
      <w:pPr>
        <w:widowControl/>
        <w:spacing w:line="560" w:lineRule="exact"/>
        <w:ind w:firstLine="640"/>
        <w:rPr>
          <w:rFonts w:ascii="仿宋_GB2312" w:hAnsi="仿宋_GB2312" w:cs="仿宋_GB2312"/>
          <w:bCs/>
          <w:color w:val="000000"/>
          <w:szCs w:val="32"/>
        </w:rPr>
      </w:pPr>
      <w:r>
        <w:rPr>
          <w:rFonts w:hint="eastAsia" w:ascii="楷体_GB2312" w:hAnsi="楷体_GB2312" w:eastAsia="楷体_GB2312" w:cs="楷体_GB2312"/>
          <w:bCs/>
          <w:color w:val="000000"/>
          <w:szCs w:val="32"/>
        </w:rPr>
        <w:t>（三）优化政务服务。</w:t>
      </w:r>
      <w:r>
        <w:rPr>
          <w:rFonts w:hint="eastAsia" w:ascii="仿宋_GB2312" w:hAnsi="仿宋_GB2312" w:cs="仿宋_GB2312"/>
          <w:bCs/>
          <w:color w:val="000000"/>
          <w:szCs w:val="32"/>
        </w:rPr>
        <w:t>持续推进“放管服”改革，营造一流营商环境，使准入更便捷、监管更有效、服务更贴心，充分激发市场主体活力。</w:t>
      </w:r>
    </w:p>
    <w:p>
      <w:pPr>
        <w:widowControl/>
        <w:spacing w:line="560" w:lineRule="exact"/>
        <w:ind w:firstLine="640"/>
        <w:rPr>
          <w:rFonts w:ascii="仿宋_GB2312" w:hAnsi="仿宋_GB2312" w:cs="仿宋_GB2312"/>
          <w:bCs/>
          <w:color w:val="000000"/>
          <w:szCs w:val="32"/>
        </w:rPr>
      </w:pPr>
      <w:r>
        <w:rPr>
          <w:rFonts w:hint="eastAsia" w:ascii="楷体_GB2312" w:hAnsi="楷体_GB2312" w:eastAsia="楷体_GB2312" w:cs="楷体_GB2312"/>
          <w:bCs/>
          <w:color w:val="000000"/>
          <w:szCs w:val="32"/>
        </w:rPr>
        <w:t>（四）保障公平竞争。</w:t>
      </w:r>
      <w:r>
        <w:rPr>
          <w:rFonts w:hint="eastAsia" w:ascii="仿宋_GB2312" w:hAnsi="仿宋_GB2312" w:cs="仿宋_GB2312"/>
          <w:bCs/>
          <w:color w:val="000000"/>
          <w:szCs w:val="32"/>
        </w:rPr>
        <w:t>有序放宽市场准入，加大违法打击力度，着力打造自然资源领域公平竞争的市场环境、政策环境、法治环境，不断促进各市场主体平等、规范、发展。</w:t>
      </w:r>
    </w:p>
    <w:p>
      <w:pPr>
        <w:widowControl/>
        <w:numPr>
          <w:ilvl w:val="0"/>
          <w:numId w:val="1"/>
        </w:numPr>
        <w:spacing w:line="560" w:lineRule="exact"/>
        <w:ind w:firstLine="640" w:firstLineChars="200"/>
        <w:rPr>
          <w:rFonts w:ascii="黑体" w:hAnsi="黑体" w:eastAsia="黑体" w:cs="黑体"/>
          <w:bCs/>
          <w:color w:val="000000"/>
          <w:szCs w:val="32"/>
        </w:rPr>
      </w:pPr>
      <w:r>
        <w:rPr>
          <w:rFonts w:hint="eastAsia" w:ascii="黑体" w:hAnsi="黑体" w:eastAsia="黑体" w:cs="黑体"/>
          <w:bCs/>
          <w:color w:val="000000"/>
          <w:szCs w:val="32"/>
        </w:rPr>
        <w:t>重点工作</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（一）科学编制规划，促进产业发展合理布局</w:t>
      </w:r>
    </w:p>
    <w:p>
      <w:pPr>
        <w:widowControl/>
        <w:spacing w:line="560" w:lineRule="exact"/>
        <w:ind w:firstLine="640"/>
        <w:rPr>
          <w:rFonts w:ascii="仿宋_GB2312" w:hAnsi="仿宋_GB2312" w:cs="仿宋_GB2312"/>
          <w:bCs/>
          <w:color w:val="000000"/>
          <w:szCs w:val="32"/>
        </w:rPr>
      </w:pPr>
      <w:r>
        <w:rPr>
          <w:rFonts w:ascii="仿宋_GB2312" w:hAnsi="仿宋_GB2312" w:cs="仿宋_GB2312"/>
          <w:bCs/>
          <w:color w:val="000000"/>
          <w:szCs w:val="32"/>
        </w:rPr>
        <w:t>1.</w:t>
      </w:r>
      <w:r>
        <w:rPr>
          <w:rFonts w:hint="eastAsia" w:ascii="仿宋_GB2312" w:hAnsi="仿宋_GB2312" w:cs="仿宋_GB2312"/>
          <w:bCs/>
          <w:color w:val="000000"/>
          <w:szCs w:val="32"/>
        </w:rPr>
        <w:t>科学编制《长治市</w:t>
      </w:r>
      <w:r>
        <w:rPr>
          <w:rFonts w:hint="eastAsia" w:ascii="仿宋_GB2312" w:hAnsi="仿宋_GB2312" w:cs="仿宋_GB2312"/>
          <w:bCs/>
          <w:color w:val="000000"/>
          <w:szCs w:val="32"/>
          <w:lang w:eastAsia="zh-CN"/>
        </w:rPr>
        <w:t>上党区</w:t>
      </w:r>
      <w:r>
        <w:rPr>
          <w:rFonts w:hint="eastAsia" w:ascii="仿宋_GB2312" w:hAnsi="仿宋_GB2312" w:cs="仿宋_GB2312"/>
          <w:bCs/>
          <w:color w:val="000000"/>
          <w:szCs w:val="32"/>
        </w:rPr>
        <w:t>国土空间总体规划》。积极落实省委“五个先行”和“高质量、高标准、高水平”要求，以国土空间总体规划编制工作为契机，科学规划城市空间功能布局</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明确空间发展目标，形成人口、经济、资源环境等相协调的国土空间开发格局，科学满足市场主体项目落地需求。（责任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室：规划</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rPr>
          <w:rFonts w:ascii="仿宋_GB2312" w:hAnsi="仿宋_GB2312" w:cs="仿宋_GB2312"/>
          <w:bCs/>
          <w:color w:val="000000"/>
          <w:szCs w:val="32"/>
        </w:rPr>
      </w:pPr>
      <w:r>
        <w:rPr>
          <w:rFonts w:ascii="仿宋_GB2312" w:hAnsi="仿宋_GB2312" w:cs="仿宋_GB2312"/>
          <w:bCs/>
          <w:color w:val="000000"/>
          <w:szCs w:val="32"/>
        </w:rPr>
        <w:t>2.</w:t>
      </w:r>
      <w:r>
        <w:rPr>
          <w:rFonts w:hint="eastAsia" w:ascii="仿宋_GB2312" w:hAnsi="仿宋_GB2312" w:cs="仿宋_GB2312"/>
          <w:bCs/>
          <w:color w:val="000000"/>
          <w:szCs w:val="32"/>
          <w:lang w:eastAsia="zh-CN"/>
        </w:rPr>
        <w:t>发挥主体功能区和</w:t>
      </w:r>
      <w:r>
        <w:rPr>
          <w:rFonts w:hint="eastAsia" w:ascii="仿宋_GB2312" w:hAnsi="仿宋_GB2312" w:cs="仿宋_GB2312"/>
          <w:bCs/>
          <w:color w:val="000000"/>
          <w:szCs w:val="32"/>
        </w:rPr>
        <w:t>国土空间规划</w:t>
      </w:r>
      <w:r>
        <w:rPr>
          <w:rFonts w:hint="eastAsia" w:ascii="仿宋_GB2312" w:hAnsi="仿宋_GB2312" w:cs="仿宋_GB2312"/>
          <w:bCs/>
          <w:color w:val="000000"/>
          <w:szCs w:val="32"/>
          <w:lang w:eastAsia="zh-CN"/>
        </w:rPr>
        <w:t>作用，解决重点项目落地难问题，</w:t>
      </w:r>
      <w:r>
        <w:rPr>
          <w:rFonts w:hint="eastAsia" w:ascii="仿宋_GB2312" w:hAnsi="仿宋_GB2312" w:cs="仿宋_GB2312"/>
          <w:bCs/>
          <w:color w:val="000000"/>
          <w:szCs w:val="32"/>
        </w:rPr>
        <w:t>科学满足市场主体项目落地需求。（责任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室：规划</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rPr>
          <w:rFonts w:ascii="仿宋_GB2312" w:hAnsi="仿宋_GB2312" w:cs="仿宋_GB2312"/>
          <w:bCs/>
          <w:color w:val="000000"/>
          <w:szCs w:val="32"/>
        </w:rPr>
      </w:pPr>
      <w:r>
        <w:rPr>
          <w:rFonts w:ascii="仿宋_GB2312" w:hAnsi="仿宋_GB2312" w:cs="仿宋_GB2312"/>
          <w:bCs/>
          <w:color w:val="000000"/>
          <w:szCs w:val="32"/>
        </w:rPr>
        <w:t>3.</w:t>
      </w:r>
      <w:r>
        <w:rPr>
          <w:rFonts w:hint="eastAsia" w:ascii="仿宋_GB2312" w:hAnsi="仿宋_GB2312" w:cs="仿宋_GB2312"/>
          <w:bCs/>
          <w:color w:val="000000"/>
          <w:szCs w:val="32"/>
        </w:rPr>
        <w:t>在</w:t>
      </w:r>
      <w:r>
        <w:rPr>
          <w:rFonts w:hint="eastAsia" w:ascii="仿宋_GB2312" w:hAnsi="仿宋_GB2312" w:cs="仿宋_GB2312"/>
          <w:bCs/>
          <w:color w:val="000000"/>
          <w:szCs w:val="32"/>
          <w:lang w:eastAsia="zh-CN"/>
        </w:rPr>
        <w:t>区</w:t>
      </w:r>
      <w:r>
        <w:rPr>
          <w:rFonts w:hint="eastAsia" w:ascii="仿宋_GB2312" w:hAnsi="仿宋_GB2312" w:cs="仿宋_GB2312"/>
          <w:bCs/>
          <w:color w:val="000000"/>
          <w:szCs w:val="32"/>
        </w:rPr>
        <w:t>国土空间规划中合理布局各类城市公共空间、商业区、步行街、商品集散地等，引领城市打造“烟火气”集聚区。适应快递业快速发展形势，快递园区、快递公共投递服务站等基础设施</w:t>
      </w:r>
      <w:r>
        <w:rPr>
          <w:rFonts w:hint="eastAsia" w:ascii="仿宋_GB2312" w:hAnsi="仿宋_GB2312" w:cs="仿宋_GB2312"/>
          <w:bCs/>
          <w:color w:val="000000"/>
          <w:szCs w:val="32"/>
          <w:lang w:eastAsia="zh-CN"/>
        </w:rPr>
        <w:t>专项规划要纳入国土空间规划，</w:t>
      </w:r>
      <w:r>
        <w:rPr>
          <w:rFonts w:hint="eastAsia" w:ascii="仿宋_GB2312" w:hAnsi="仿宋_GB2312" w:cs="仿宋_GB2312"/>
          <w:bCs/>
          <w:color w:val="000000"/>
          <w:szCs w:val="32"/>
        </w:rPr>
        <w:t>与城乡公共服务设施用地同步规划，加大快递分拨仓储用地支持力度。（责任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室：规划</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（二）提升土地利用效益，强化项目建设用地保障</w:t>
      </w:r>
    </w:p>
    <w:p>
      <w:pPr>
        <w:spacing w:line="560" w:lineRule="exact"/>
        <w:ind w:firstLine="640" w:firstLineChars="200"/>
        <w:rPr>
          <w:bCs/>
          <w:color w:val="000000"/>
        </w:rPr>
      </w:pPr>
      <w:r>
        <w:rPr>
          <w:bCs/>
          <w:color w:val="000000"/>
          <w:szCs w:val="32"/>
          <w:lang w:val="en"/>
        </w:rPr>
        <w:t>1</w:t>
      </w:r>
      <w:r>
        <w:rPr>
          <w:bCs/>
          <w:color w:val="000000"/>
          <w:szCs w:val="32"/>
        </w:rPr>
        <w:t>.</w:t>
      </w:r>
      <w:r>
        <w:rPr>
          <w:rFonts w:hint="eastAsia"/>
          <w:bCs/>
          <w:color w:val="000000"/>
          <w:szCs w:val="32"/>
        </w:rPr>
        <w:t>持续开展年度</w:t>
      </w:r>
      <w:r>
        <w:rPr>
          <w:bCs/>
          <w:color w:val="000000"/>
          <w:szCs w:val="32"/>
        </w:rPr>
        <w:t>“</w:t>
      </w:r>
      <w:r>
        <w:rPr>
          <w:rFonts w:hint="eastAsia"/>
          <w:bCs/>
          <w:color w:val="000000"/>
          <w:szCs w:val="32"/>
        </w:rPr>
        <w:t>批而未用</w:t>
      </w:r>
      <w:r>
        <w:rPr>
          <w:bCs/>
          <w:color w:val="000000"/>
          <w:szCs w:val="32"/>
        </w:rPr>
        <w:t>”</w:t>
      </w:r>
      <w:r>
        <w:rPr>
          <w:rFonts w:hint="eastAsia"/>
          <w:bCs/>
          <w:color w:val="000000"/>
          <w:szCs w:val="32"/>
        </w:rPr>
        <w:t>土地专项清理，</w:t>
      </w:r>
      <w:r>
        <w:rPr>
          <w:rFonts w:hint="eastAsia"/>
          <w:bCs/>
          <w:color w:val="000000"/>
          <w:szCs w:val="32"/>
          <w:lang w:eastAsia="zh-CN"/>
        </w:rPr>
        <w:t>强化“增存挂钩”机制落实和节约集约利用专项考核，</w:t>
      </w:r>
      <w:r>
        <w:rPr>
          <w:rFonts w:hint="eastAsia"/>
          <w:bCs/>
          <w:color w:val="000000"/>
          <w:szCs w:val="32"/>
        </w:rPr>
        <w:t>加大存量土地消化处置力度，拓宽市场主体土地供给路径，大幅缓解新增建设用地指标保障压力。以存量土地消化处置，核算新增建设用地计划指标总量</w:t>
      </w:r>
      <w:r>
        <w:rPr>
          <w:rFonts w:hint="eastAsia"/>
          <w:bCs/>
          <w:color w:val="000000"/>
          <w:szCs w:val="32"/>
          <w:lang w:eastAsia="zh-CN"/>
        </w:rPr>
        <w:t>，持续盘活存量土地资源，</w:t>
      </w:r>
      <w:r>
        <w:rPr>
          <w:rFonts w:hint="eastAsia"/>
          <w:bCs/>
          <w:color w:val="000000"/>
          <w:szCs w:val="32"/>
        </w:rPr>
        <w:t>为市场主体提供优质高效服务。</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室：开发利用</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bCs/>
          <w:color w:val="000000"/>
          <w:szCs w:val="32"/>
        </w:rPr>
        <w:t>2.</w:t>
      </w:r>
      <w:r>
        <w:rPr>
          <w:rFonts w:hint="eastAsia"/>
          <w:bCs/>
          <w:color w:val="000000"/>
          <w:szCs w:val="32"/>
          <w:lang w:eastAsia="zh-CN"/>
        </w:rPr>
        <w:t>合理安排年度用地</w:t>
      </w:r>
      <w:r>
        <w:rPr>
          <w:rFonts w:hint="eastAsia"/>
          <w:bCs/>
          <w:color w:val="000000"/>
          <w:szCs w:val="32"/>
        </w:rPr>
        <w:t>计划指标。坚持</w:t>
      </w:r>
      <w:r>
        <w:rPr>
          <w:rFonts w:hint="eastAsia"/>
          <w:bCs/>
          <w:color w:val="000000"/>
          <w:szCs w:val="32"/>
          <w:lang w:eastAsia="zh-CN"/>
        </w:rPr>
        <w:t>计划指标</w:t>
      </w:r>
      <w:r>
        <w:rPr>
          <w:rFonts w:hint="eastAsia"/>
          <w:bCs/>
          <w:color w:val="000000"/>
          <w:szCs w:val="32"/>
        </w:rPr>
        <w:t>跟着项目走，</w:t>
      </w:r>
      <w:r>
        <w:rPr>
          <w:rFonts w:hint="eastAsia"/>
          <w:bCs/>
          <w:color w:val="000000"/>
          <w:szCs w:val="32"/>
          <w:lang w:eastAsia="zh-CN"/>
        </w:rPr>
        <w:t>保障有效投资</w:t>
      </w:r>
      <w:r>
        <w:rPr>
          <w:rFonts w:hint="eastAsia"/>
          <w:bCs/>
          <w:color w:val="000000"/>
          <w:szCs w:val="32"/>
        </w:rPr>
        <w:t>用地</w:t>
      </w:r>
      <w:r>
        <w:rPr>
          <w:rFonts w:hint="eastAsia"/>
          <w:bCs/>
          <w:color w:val="000000"/>
          <w:szCs w:val="32"/>
          <w:lang w:eastAsia="zh-CN"/>
        </w:rPr>
        <w:t>需求，纳入重大项目清单重点保障的能源、交通、水利、产业单独选址项目用地，在建设用地依法依规批准后直接配置计划指标；“增存挂钩”产生的新增</w:t>
      </w:r>
      <w:r>
        <w:rPr>
          <w:rFonts w:hint="eastAsia"/>
          <w:bCs/>
          <w:color w:val="000000"/>
          <w:szCs w:val="32"/>
        </w:rPr>
        <w:t>计划指标</w:t>
      </w:r>
      <w:r>
        <w:rPr>
          <w:rFonts w:hint="eastAsia"/>
          <w:bCs/>
          <w:color w:val="000000"/>
          <w:szCs w:val="32"/>
          <w:lang w:eastAsia="zh-CN"/>
        </w:rPr>
        <w:t>，</w:t>
      </w:r>
      <w:r>
        <w:rPr>
          <w:rFonts w:hint="eastAsia"/>
          <w:bCs/>
          <w:color w:val="000000"/>
          <w:szCs w:val="32"/>
        </w:rPr>
        <w:t>优先</w:t>
      </w:r>
      <w:r>
        <w:rPr>
          <w:rFonts w:hint="eastAsia"/>
          <w:bCs/>
          <w:color w:val="000000"/>
          <w:szCs w:val="32"/>
          <w:lang w:eastAsia="zh-CN"/>
        </w:rPr>
        <w:t>安排</w:t>
      </w:r>
      <w:r>
        <w:rPr>
          <w:rFonts w:hint="eastAsia"/>
          <w:bCs/>
          <w:color w:val="000000"/>
          <w:szCs w:val="32"/>
        </w:rPr>
        <w:t>保障</w:t>
      </w:r>
      <w:r>
        <w:rPr>
          <w:rFonts w:hint="eastAsia"/>
          <w:bCs/>
          <w:color w:val="000000"/>
          <w:szCs w:val="32"/>
          <w:lang w:eastAsia="zh-CN"/>
        </w:rPr>
        <w:t>性安居工程、教育、卫生、文化等社会民生工程及省级以上开发区重点转型项目用地。强化重点工程项目用地服务。主动与相关部门对接，及时了解重点工程项目用地需求，加强重点工程用地手续办理调度，解决重点工程用地报批中存在的问题。</w:t>
      </w:r>
      <w:r>
        <w:rPr>
          <w:rFonts w:hint="eastAsia"/>
          <w:bCs/>
          <w:color w:val="000000"/>
          <w:szCs w:val="32"/>
        </w:rPr>
        <w:t>全程精准对接服务，搭建重点项目报批</w:t>
      </w:r>
      <w:r>
        <w:rPr>
          <w:bCs/>
          <w:color w:val="000000"/>
          <w:szCs w:val="32"/>
        </w:rPr>
        <w:t>“</w:t>
      </w:r>
      <w:r>
        <w:rPr>
          <w:rFonts w:hint="eastAsia"/>
          <w:bCs/>
          <w:color w:val="000000"/>
          <w:szCs w:val="32"/>
        </w:rPr>
        <w:t>高速路</w:t>
      </w:r>
      <w:r>
        <w:rPr>
          <w:bCs/>
          <w:color w:val="000000"/>
          <w:szCs w:val="32"/>
        </w:rPr>
        <w:t>”</w:t>
      </w:r>
      <w:r>
        <w:rPr>
          <w:rFonts w:hint="eastAsia"/>
          <w:bCs/>
          <w:color w:val="000000"/>
          <w:szCs w:val="32"/>
        </w:rPr>
        <w:t>。综合运用优惠政策，切实保障项目落地。</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室：用途管制</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rFonts w:hint="eastAsia" w:eastAsia="仿宋_GB2312"/>
          <w:bCs/>
          <w:color w:val="000000"/>
          <w:szCs w:val="32"/>
          <w:lang w:val="en-US" w:eastAsia="zh-CN"/>
        </w:rPr>
      </w:pPr>
      <w:r>
        <w:rPr>
          <w:rFonts w:hint="eastAsia"/>
          <w:bCs/>
          <w:color w:val="000000"/>
          <w:szCs w:val="32"/>
          <w:lang w:val="en-US" w:eastAsia="zh-CN"/>
        </w:rPr>
        <w:t>3、培育土地综合整治市场主体。“十四五”期间实施省级农村土地综合整治及国家级全域土地综合整治试点项目，以土地综合整治为平台，推进农用地整理、建设用地整理和乡村生态保护修复，培育土地综合整治市场主体，助推乡村振兴和美丽乡村建设。</w:t>
      </w:r>
      <w:r>
        <w:rPr>
          <w:rFonts w:hint="eastAsia"/>
          <w:bCs/>
          <w:color w:val="000000"/>
          <w:szCs w:val="32"/>
        </w:rPr>
        <w:t>（责任</w:t>
      </w:r>
      <w:r>
        <w:rPr>
          <w:rFonts w:hint="eastAsia"/>
          <w:bCs/>
          <w:color w:val="000000"/>
          <w:szCs w:val="32"/>
          <w:lang w:eastAsia="zh-CN"/>
        </w:rPr>
        <w:t>股</w:t>
      </w:r>
      <w:r>
        <w:rPr>
          <w:rFonts w:hint="eastAsia"/>
          <w:bCs/>
          <w:color w:val="000000"/>
          <w:szCs w:val="32"/>
        </w:rPr>
        <w:t>室：耕保</w:t>
      </w:r>
      <w:r>
        <w:rPr>
          <w:rFonts w:hint="eastAsia"/>
          <w:bCs/>
          <w:color w:val="000000"/>
          <w:szCs w:val="32"/>
          <w:lang w:eastAsia="zh-CN"/>
        </w:rPr>
        <w:t>股</w:t>
      </w:r>
      <w:r>
        <w:rPr>
          <w:rFonts w:hint="eastAsia"/>
          <w:bCs/>
          <w:color w:val="000000"/>
          <w:szCs w:val="32"/>
        </w:rPr>
        <w:t>）</w:t>
      </w:r>
    </w:p>
    <w:p>
      <w:pPr>
        <w:spacing w:line="560" w:lineRule="exact"/>
        <w:ind w:firstLine="640" w:firstLineChars="200"/>
        <w:rPr>
          <w:bCs/>
          <w:color w:val="000000"/>
          <w:szCs w:val="32"/>
        </w:rPr>
      </w:pPr>
      <w:r>
        <w:rPr>
          <w:rFonts w:hint="eastAsia"/>
          <w:bCs/>
          <w:color w:val="000000"/>
          <w:szCs w:val="32"/>
          <w:lang w:val="en-US" w:eastAsia="zh-CN"/>
        </w:rPr>
        <w:t>4</w:t>
      </w:r>
      <w:r>
        <w:rPr>
          <w:bCs/>
          <w:color w:val="000000"/>
          <w:szCs w:val="32"/>
        </w:rPr>
        <w:t>.</w:t>
      </w:r>
      <w:r>
        <w:rPr>
          <w:rFonts w:hint="eastAsia"/>
          <w:bCs/>
          <w:color w:val="000000"/>
          <w:szCs w:val="32"/>
        </w:rPr>
        <w:t>加强补充耕地管理</w:t>
      </w:r>
      <w:r>
        <w:rPr>
          <w:rFonts w:hint="eastAsia"/>
          <w:bCs/>
          <w:color w:val="000000"/>
          <w:szCs w:val="32"/>
          <w:lang w:eastAsia="zh-CN"/>
        </w:rPr>
        <w:t>，完善耕地占补平衡指标交易平台</w:t>
      </w:r>
      <w:r>
        <w:rPr>
          <w:rFonts w:hint="eastAsia"/>
          <w:bCs/>
          <w:color w:val="000000"/>
          <w:szCs w:val="32"/>
        </w:rPr>
        <w:t>。</w:t>
      </w:r>
      <w:r>
        <w:rPr>
          <w:rFonts w:hint="eastAsia"/>
          <w:bCs/>
          <w:color w:val="000000"/>
          <w:szCs w:val="32"/>
          <w:lang w:eastAsia="zh-CN"/>
        </w:rPr>
        <w:t>系统梳理补充耕地渠道来源，推进项目信息报备入库工作，着力增加补充耕地指标储备。进一步加大补充耕地指标区域内统筹力度，提高占补平衡保障力。</w:t>
      </w:r>
      <w:r>
        <w:rPr>
          <w:rFonts w:hint="eastAsia"/>
          <w:bCs/>
          <w:color w:val="000000"/>
          <w:szCs w:val="32"/>
        </w:rPr>
        <w:t>采取分割报备等方式，加快报备入库进度，破解指标瓶颈。（责任</w:t>
      </w:r>
      <w:r>
        <w:rPr>
          <w:rFonts w:hint="eastAsia"/>
          <w:bCs/>
          <w:color w:val="000000"/>
          <w:szCs w:val="32"/>
          <w:lang w:eastAsia="zh-CN"/>
        </w:rPr>
        <w:t>股</w:t>
      </w:r>
      <w:r>
        <w:rPr>
          <w:rFonts w:hint="eastAsia"/>
          <w:bCs/>
          <w:color w:val="000000"/>
          <w:szCs w:val="32"/>
        </w:rPr>
        <w:t>室：耕保</w:t>
      </w:r>
      <w:r>
        <w:rPr>
          <w:rFonts w:hint="eastAsia"/>
          <w:bCs/>
          <w:color w:val="000000"/>
          <w:szCs w:val="32"/>
          <w:lang w:eastAsia="zh-CN"/>
        </w:rPr>
        <w:t>股</w:t>
      </w:r>
      <w:r>
        <w:rPr>
          <w:rFonts w:hint="eastAsia"/>
          <w:bCs/>
          <w:color w:val="000000"/>
          <w:szCs w:val="32"/>
        </w:rPr>
        <w:t>）</w:t>
      </w:r>
    </w:p>
    <w:p>
      <w:pPr>
        <w:spacing w:line="560" w:lineRule="exact"/>
        <w:ind w:firstLine="640"/>
        <w:rPr>
          <w:bCs/>
          <w:color w:val="000000"/>
        </w:rPr>
      </w:pPr>
      <w:r>
        <w:rPr>
          <w:rFonts w:hint="eastAsia" w:ascii="仿宋_GB2312" w:hAnsi="仿宋_GB2312" w:cs="仿宋_GB2312"/>
          <w:bCs/>
          <w:color w:val="000000"/>
          <w:szCs w:val="32"/>
          <w:lang w:val="en-US" w:eastAsia="zh-CN"/>
        </w:rPr>
        <w:t>5</w:t>
      </w:r>
      <w:r>
        <w:rPr>
          <w:rFonts w:ascii="仿宋_GB2312" w:hAnsi="仿宋_GB2312" w:cs="仿宋_GB2312"/>
          <w:bCs/>
          <w:color w:val="000000"/>
          <w:szCs w:val="32"/>
        </w:rPr>
        <w:t>.</w:t>
      </w:r>
      <w:r>
        <w:rPr>
          <w:rFonts w:hint="eastAsia" w:ascii="仿宋_GB2312" w:hAnsi="仿宋_GB2312" w:cs="仿宋_GB2312"/>
          <w:bCs/>
          <w:color w:val="000000"/>
          <w:szCs w:val="32"/>
        </w:rPr>
        <w:t>加大农产品批发市场、“中央大厨房”、分拨配送中心、消费集聚区停车场所、社区商业服务设施等用地保障力度。（责任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室：用途管制</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（三）优化出让方式，助力矿产资源开发利用</w:t>
      </w:r>
    </w:p>
    <w:p>
      <w:pPr>
        <w:spacing w:line="560" w:lineRule="exact"/>
        <w:ind w:firstLine="640" w:firstLineChars="200"/>
        <w:rPr>
          <w:bCs/>
          <w:color w:val="000000"/>
          <w:szCs w:val="32"/>
        </w:rPr>
      </w:pPr>
      <w:r>
        <w:rPr>
          <w:bCs/>
          <w:color w:val="000000"/>
          <w:szCs w:val="32"/>
        </w:rPr>
        <w:t>1.</w:t>
      </w:r>
      <w:r>
        <w:rPr>
          <w:rFonts w:hint="eastAsia"/>
          <w:bCs/>
          <w:color w:val="000000"/>
          <w:szCs w:val="32"/>
        </w:rPr>
        <w:t>积极</w:t>
      </w:r>
      <w:r>
        <w:rPr>
          <w:rFonts w:hint="eastAsia"/>
          <w:bCs/>
          <w:color w:val="000000"/>
          <w:szCs w:val="32"/>
          <w:lang w:eastAsia="zh-CN"/>
        </w:rPr>
        <w:t>配合市级发证矿产资源竞争性出让。</w:t>
      </w:r>
      <w:r>
        <w:rPr>
          <w:rFonts w:hint="eastAsia"/>
          <w:bCs/>
          <w:color w:val="000000"/>
          <w:szCs w:val="32"/>
        </w:rPr>
        <w:t>做实矿业权出让前期准备工作，推进</w:t>
      </w:r>
      <w:r>
        <w:rPr>
          <w:bCs/>
          <w:color w:val="000000"/>
          <w:szCs w:val="32"/>
        </w:rPr>
        <w:t>“</w:t>
      </w:r>
      <w:r>
        <w:rPr>
          <w:rFonts w:hint="eastAsia"/>
          <w:bCs/>
          <w:color w:val="000000"/>
          <w:szCs w:val="32"/>
        </w:rPr>
        <w:t>净矿</w:t>
      </w:r>
      <w:r>
        <w:rPr>
          <w:bCs/>
          <w:color w:val="000000"/>
          <w:szCs w:val="32"/>
        </w:rPr>
        <w:t>”</w:t>
      </w:r>
      <w:r>
        <w:rPr>
          <w:rFonts w:hint="eastAsia"/>
          <w:bCs/>
          <w:color w:val="000000"/>
          <w:szCs w:val="32"/>
        </w:rPr>
        <w:t>出让，重塑流程、提高效率，依法依规避</w:t>
      </w:r>
      <w:r>
        <w:rPr>
          <w:rFonts w:hint="eastAsia"/>
          <w:bCs/>
          <w:color w:val="000000"/>
          <w:szCs w:val="32"/>
          <w:lang w:eastAsia="zh-CN"/>
        </w:rPr>
        <w:t>开</w:t>
      </w:r>
      <w:r>
        <w:rPr>
          <w:rFonts w:hint="eastAsia"/>
          <w:bCs/>
          <w:color w:val="000000"/>
          <w:szCs w:val="32"/>
        </w:rPr>
        <w:t>禁采区域，科学确定出让范围，高效衔接审批事项，确保企业</w:t>
      </w:r>
      <w:r>
        <w:rPr>
          <w:bCs/>
          <w:color w:val="000000"/>
          <w:szCs w:val="32"/>
        </w:rPr>
        <w:t>“</w:t>
      </w:r>
      <w:r>
        <w:rPr>
          <w:rFonts w:hint="eastAsia"/>
          <w:bCs/>
          <w:color w:val="000000"/>
          <w:szCs w:val="32"/>
        </w:rPr>
        <w:t>拿矿即可投产</w:t>
      </w:r>
      <w:r>
        <w:rPr>
          <w:bCs/>
          <w:color w:val="000000"/>
          <w:szCs w:val="32"/>
        </w:rPr>
        <w:t>”</w:t>
      </w:r>
      <w:r>
        <w:rPr>
          <w:rFonts w:hint="eastAsia"/>
          <w:bCs/>
          <w:color w:val="000000"/>
          <w:szCs w:val="32"/>
        </w:rPr>
        <w:t>。</w:t>
      </w:r>
      <w:r>
        <w:rPr>
          <w:bCs/>
          <w:color w:val="000000"/>
          <w:szCs w:val="32"/>
        </w:rPr>
        <w:t>“</w:t>
      </w:r>
      <w:r>
        <w:rPr>
          <w:rFonts w:hint="eastAsia"/>
          <w:bCs/>
          <w:color w:val="000000"/>
          <w:szCs w:val="32"/>
        </w:rPr>
        <w:t>十四五</w:t>
      </w:r>
      <w:r>
        <w:rPr>
          <w:bCs/>
          <w:color w:val="000000"/>
          <w:szCs w:val="32"/>
        </w:rPr>
        <w:t>”</w:t>
      </w:r>
      <w:r>
        <w:rPr>
          <w:rFonts w:hint="eastAsia"/>
          <w:bCs/>
          <w:color w:val="000000"/>
          <w:szCs w:val="32"/>
        </w:rPr>
        <w:t>期间，以国家支持京津冀及周边重点区域投放大型砂石采矿权为契机，统筹考虑资源禀赋、经济运输半径、区域供需平衡等相关因素，</w:t>
      </w:r>
      <w:r>
        <w:rPr>
          <w:rFonts w:hint="eastAsia"/>
          <w:bCs/>
          <w:color w:val="000000"/>
          <w:szCs w:val="32"/>
          <w:lang w:eastAsia="zh-CN"/>
        </w:rPr>
        <w:t>配合上级部门</w:t>
      </w:r>
      <w:r>
        <w:rPr>
          <w:rFonts w:hint="eastAsia"/>
          <w:bCs/>
          <w:color w:val="000000"/>
          <w:szCs w:val="32"/>
        </w:rPr>
        <w:t>合理有序投放砂石采矿权，有效保障社会经济建设发展需求。</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室：矿管</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bCs/>
          <w:color w:val="000000"/>
          <w:szCs w:val="32"/>
        </w:rPr>
      </w:pPr>
      <w:r>
        <w:rPr>
          <w:bCs/>
          <w:color w:val="000000"/>
          <w:szCs w:val="32"/>
        </w:rPr>
        <w:t>2.</w:t>
      </w:r>
      <w:r>
        <w:rPr>
          <w:rFonts w:hint="eastAsia"/>
          <w:bCs/>
          <w:color w:val="000000"/>
          <w:szCs w:val="32"/>
        </w:rPr>
        <w:t>全面加快绿色矿山建设。确保新建矿山全部达到绿色矿山建设要求，已有部、省级发证矿山达标率</w:t>
      </w:r>
      <w:r>
        <w:rPr>
          <w:bCs/>
          <w:color w:val="000000"/>
          <w:szCs w:val="32"/>
        </w:rPr>
        <w:t>95%</w:t>
      </w:r>
      <w:r>
        <w:rPr>
          <w:rFonts w:hint="eastAsia"/>
          <w:bCs/>
          <w:color w:val="000000"/>
          <w:szCs w:val="32"/>
        </w:rPr>
        <w:t>以上，已有市级发证矿山基本达到省级标准，有效提升资源节约集约利用水平及矿山综合管理能力，基本形成</w:t>
      </w:r>
      <w:r>
        <w:rPr>
          <w:bCs/>
          <w:color w:val="000000"/>
          <w:szCs w:val="32"/>
        </w:rPr>
        <w:t>“</w:t>
      </w:r>
      <w:r>
        <w:rPr>
          <w:rFonts w:hint="eastAsia"/>
          <w:bCs/>
          <w:color w:val="000000"/>
          <w:szCs w:val="32"/>
        </w:rPr>
        <w:t>管理规范、节约高效、环境优美、矿地和谐</w:t>
      </w:r>
      <w:r>
        <w:rPr>
          <w:bCs/>
          <w:color w:val="000000"/>
          <w:szCs w:val="32"/>
        </w:rPr>
        <w:t>”</w:t>
      </w:r>
      <w:r>
        <w:rPr>
          <w:rFonts w:hint="eastAsia"/>
          <w:bCs/>
          <w:color w:val="000000"/>
          <w:szCs w:val="32"/>
        </w:rPr>
        <w:t>的绿色矿业发展新格局。</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室：矿管</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bCs/>
          <w:color w:val="000000"/>
        </w:rPr>
      </w:pPr>
      <w:r>
        <w:rPr>
          <w:rFonts w:hint="eastAsia"/>
          <w:bCs/>
          <w:color w:val="000000"/>
          <w:szCs w:val="32"/>
          <w:lang w:val="en-US" w:eastAsia="zh-CN"/>
        </w:rPr>
        <w:t>3</w:t>
      </w:r>
      <w:r>
        <w:rPr>
          <w:bCs/>
          <w:color w:val="000000"/>
          <w:szCs w:val="32"/>
        </w:rPr>
        <w:t>.</w:t>
      </w:r>
      <w:r>
        <w:rPr>
          <w:rFonts w:hint="eastAsia"/>
          <w:bCs/>
          <w:color w:val="000000"/>
          <w:szCs w:val="32"/>
        </w:rPr>
        <w:t>主动履职，加快解决部分煤矿、非煤矿山等手续办理困难问题。</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室：矿管</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（四）协调统筹推进，积极引导社会资本参与生态修复治理</w:t>
      </w:r>
    </w:p>
    <w:p>
      <w:pPr>
        <w:spacing w:line="560" w:lineRule="exact"/>
        <w:ind w:firstLine="640" w:firstLineChars="200"/>
        <w:rPr>
          <w:bCs/>
          <w:color w:val="000000"/>
          <w:szCs w:val="32"/>
        </w:rPr>
      </w:pPr>
      <w:r>
        <w:rPr>
          <w:bCs/>
          <w:color w:val="000000"/>
          <w:szCs w:val="32"/>
        </w:rPr>
        <w:t>1.</w:t>
      </w:r>
      <w:r>
        <w:rPr>
          <w:rFonts w:hint="eastAsia"/>
          <w:bCs/>
          <w:color w:val="000000"/>
          <w:szCs w:val="32"/>
        </w:rPr>
        <w:t>全面摸清历史遗留矿山底数。查明全</w:t>
      </w:r>
      <w:r>
        <w:rPr>
          <w:rFonts w:hint="eastAsia"/>
          <w:bCs/>
          <w:color w:val="000000"/>
          <w:szCs w:val="32"/>
          <w:lang w:eastAsia="zh-CN"/>
        </w:rPr>
        <w:t>区</w:t>
      </w:r>
      <w:r>
        <w:rPr>
          <w:rFonts w:hint="eastAsia"/>
          <w:bCs/>
          <w:color w:val="000000"/>
          <w:szCs w:val="32"/>
        </w:rPr>
        <w:t>历史遗留矿山分布，逐图斑确定损毁土地面积、权属、主要生态问题现状、拟修复方向及时间等因素，根据部、省审定结果，完成建档立卡，建立历史遗留矿山信息库。</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生态</w:t>
      </w:r>
      <w:r>
        <w:rPr>
          <w:rFonts w:hint="eastAsia" w:ascii="仿宋_GB2312" w:hAnsi="仿宋_GB2312" w:cs="仿宋_GB2312"/>
          <w:bCs/>
          <w:color w:val="000000"/>
          <w:szCs w:val="32"/>
        </w:rPr>
        <w:t>修复</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bCs/>
          <w:color w:val="000000"/>
          <w:szCs w:val="32"/>
        </w:rPr>
        <w:t>2.</w:t>
      </w:r>
      <w:r>
        <w:rPr>
          <w:rFonts w:hint="eastAsia"/>
          <w:bCs/>
          <w:color w:val="000000"/>
          <w:szCs w:val="32"/>
        </w:rPr>
        <w:t>有序实施废弃矿山治理。督促</w:t>
      </w:r>
      <w:r>
        <w:rPr>
          <w:rFonts w:hint="eastAsia"/>
          <w:bCs/>
          <w:color w:val="000000"/>
          <w:szCs w:val="32"/>
          <w:lang w:eastAsia="zh-CN"/>
        </w:rPr>
        <w:t>矿山</w:t>
      </w:r>
      <w:r>
        <w:rPr>
          <w:rFonts w:hint="eastAsia"/>
          <w:bCs/>
          <w:color w:val="000000"/>
          <w:szCs w:val="32"/>
        </w:rPr>
        <w:t>企业落实治理费用，及时组织实施废弃矿山生态修复项目</w:t>
      </w:r>
      <w:r>
        <w:rPr>
          <w:rFonts w:hint="eastAsia"/>
          <w:bCs/>
          <w:color w:val="000000"/>
          <w:szCs w:val="32"/>
          <w:lang w:eastAsia="zh-CN"/>
        </w:rPr>
        <w:t>，</w:t>
      </w:r>
      <w:r>
        <w:rPr>
          <w:rFonts w:hint="eastAsia"/>
          <w:bCs/>
          <w:color w:val="000000"/>
          <w:szCs w:val="32"/>
        </w:rPr>
        <w:t>完成矿山</w:t>
      </w:r>
      <w:r>
        <w:rPr>
          <w:rFonts w:hint="eastAsia"/>
          <w:bCs/>
          <w:color w:val="000000"/>
          <w:szCs w:val="32"/>
          <w:lang w:eastAsia="zh-CN"/>
        </w:rPr>
        <w:t>生态修复</w:t>
      </w:r>
      <w:r>
        <w:rPr>
          <w:rFonts w:hint="eastAsia"/>
          <w:bCs/>
          <w:color w:val="000000"/>
          <w:szCs w:val="32"/>
        </w:rPr>
        <w:t>治理任务。</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生态</w:t>
      </w:r>
      <w:r>
        <w:rPr>
          <w:rFonts w:hint="eastAsia" w:ascii="仿宋_GB2312" w:hAnsi="仿宋_GB2312" w:cs="仿宋_GB2312"/>
          <w:bCs/>
          <w:color w:val="000000"/>
          <w:szCs w:val="32"/>
        </w:rPr>
        <w:t>修复</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bCs/>
          <w:color w:val="000000"/>
          <w:szCs w:val="32"/>
        </w:rPr>
        <w:t>3.</w:t>
      </w:r>
      <w:r>
        <w:rPr>
          <w:rFonts w:hint="eastAsia"/>
          <w:bCs/>
          <w:color w:val="000000"/>
          <w:szCs w:val="32"/>
        </w:rPr>
        <w:t>依据政策指引，构建“谁修复、谁受益”的生态修复市场机制，鼓励民营企业参与生态修复项目实施。对集中连片开展生态修复达到一定规模和预期目标的生态修复主体，允许依法依规取得一定份额的自然资源资产使用权，从事</w:t>
      </w:r>
      <w:r>
        <w:rPr>
          <w:rFonts w:hint="eastAsia"/>
          <w:bCs/>
          <w:color w:val="000000"/>
          <w:szCs w:val="32"/>
          <w:lang w:eastAsia="zh-CN"/>
        </w:rPr>
        <w:t>旅游、康养、体育、设施农业等</w:t>
      </w:r>
      <w:r>
        <w:rPr>
          <w:rFonts w:hint="eastAsia"/>
          <w:bCs/>
          <w:color w:val="000000"/>
          <w:szCs w:val="32"/>
        </w:rPr>
        <w:t>产业开发。以林草地修复为主的项目，可利用</w:t>
      </w:r>
      <w:r>
        <w:rPr>
          <w:rFonts w:hint="eastAsia"/>
          <w:bCs/>
          <w:color w:val="000000"/>
          <w:szCs w:val="32"/>
          <w:lang w:eastAsia="zh-CN"/>
        </w:rPr>
        <w:t>不超过</w:t>
      </w:r>
      <w:r>
        <w:rPr>
          <w:rFonts w:hint="eastAsia"/>
          <w:bCs/>
          <w:color w:val="000000"/>
          <w:szCs w:val="32"/>
          <w:lang w:val="en-US" w:eastAsia="zh-CN"/>
        </w:rPr>
        <w:t>3%的</w:t>
      </w:r>
      <w:r>
        <w:rPr>
          <w:rFonts w:hint="eastAsia"/>
          <w:bCs/>
          <w:color w:val="000000"/>
          <w:szCs w:val="32"/>
        </w:rPr>
        <w:t>修复面积，从事生态产业开发。</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：生态</w:t>
      </w:r>
      <w:r>
        <w:rPr>
          <w:rFonts w:hint="eastAsia" w:ascii="仿宋_GB2312" w:hAnsi="仿宋_GB2312" w:cs="仿宋_GB2312"/>
          <w:bCs/>
          <w:color w:val="000000"/>
          <w:szCs w:val="32"/>
        </w:rPr>
        <w:t>修复</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bCs/>
          <w:color w:val="000000"/>
          <w:szCs w:val="32"/>
        </w:rPr>
        <w:t>4.</w:t>
      </w:r>
      <w:r>
        <w:rPr>
          <w:rFonts w:hint="eastAsia"/>
          <w:bCs/>
          <w:color w:val="000000"/>
          <w:szCs w:val="32"/>
        </w:rPr>
        <w:t>对于合理削坡减荷、消除地质灾害隐患等新产生的土石料及原地遗留的土石料，</w:t>
      </w:r>
      <w:r>
        <w:rPr>
          <w:rFonts w:hint="eastAsia"/>
          <w:bCs/>
          <w:color w:val="000000"/>
          <w:szCs w:val="32"/>
          <w:lang w:eastAsia="zh-CN"/>
        </w:rPr>
        <w:t>河道疏浚产生的淤泥、泥沙，以及优质表土和乡土植物，</w:t>
      </w:r>
      <w:r>
        <w:rPr>
          <w:rFonts w:hint="eastAsia"/>
          <w:bCs/>
          <w:color w:val="000000"/>
          <w:szCs w:val="32"/>
        </w:rPr>
        <w:t>允许生态保护修复主体无偿用于本修复工程，纳入成本管理。</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生态</w:t>
      </w:r>
      <w:r>
        <w:rPr>
          <w:rFonts w:hint="eastAsia" w:ascii="仿宋_GB2312" w:hAnsi="仿宋_GB2312" w:cs="仿宋_GB2312"/>
          <w:bCs/>
          <w:color w:val="000000"/>
          <w:szCs w:val="32"/>
        </w:rPr>
        <w:t>修复</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（五）深化“标准地”改革</w:t>
      </w:r>
      <w:r>
        <w:rPr>
          <w:rFonts w:ascii="楷体_GB2312" w:hAnsi="楷体_GB2312" w:eastAsia="楷体_GB2312" w:cs="楷体_GB2312"/>
          <w:bCs/>
          <w:color w:val="000000"/>
          <w:szCs w:val="32"/>
        </w:rPr>
        <w:t>,</w:t>
      </w:r>
      <w:r>
        <w:rPr>
          <w:rFonts w:hint="eastAsia" w:ascii="楷体_GB2312" w:hAnsi="楷体_GB2312" w:eastAsia="楷体_GB2312" w:cs="楷体_GB2312"/>
          <w:bCs/>
          <w:color w:val="000000"/>
          <w:szCs w:val="32"/>
        </w:rPr>
        <w:t>高效落实产业用地优惠政策</w:t>
      </w:r>
    </w:p>
    <w:p>
      <w:pPr>
        <w:spacing w:line="560" w:lineRule="exact"/>
        <w:ind w:firstLine="640" w:firstLineChars="200"/>
        <w:rPr>
          <w:bCs/>
          <w:color w:val="000000"/>
          <w:szCs w:val="32"/>
        </w:rPr>
      </w:pPr>
      <w:r>
        <w:rPr>
          <w:bCs/>
          <w:color w:val="000000"/>
          <w:szCs w:val="32"/>
        </w:rPr>
        <w:t>1.</w:t>
      </w:r>
      <w:r>
        <w:rPr>
          <w:rFonts w:hint="eastAsia"/>
          <w:bCs/>
          <w:color w:val="000000"/>
          <w:szCs w:val="32"/>
          <w:lang w:eastAsia="zh-CN"/>
        </w:rPr>
        <w:t>积极探索和推进“标准地”模式，大幅提高省级开发区出让“标准地”宗数占本开发区工业用地的比重。探索将新增工业项目“标准地”出让制度向生产性服务业项目延伸。实施全周期管理，推动与“地证同交”“标准化厂房”“弹性出让”深度融合。</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开发利用股</w:t>
      </w:r>
      <w:r>
        <w:rPr>
          <w:rFonts w:hint="eastAsia" w:ascii="仿宋_GB2312" w:hAnsi="仿宋_GB2312" w:cs="仿宋_GB2312"/>
          <w:bCs/>
          <w:color w:val="000000"/>
          <w:szCs w:val="32"/>
        </w:rPr>
        <w:t>）</w:t>
      </w:r>
    </w:p>
    <w:p>
      <w:pPr>
        <w:spacing w:line="560" w:lineRule="exact"/>
        <w:ind w:firstLine="640" w:firstLineChars="200"/>
        <w:rPr>
          <w:bCs/>
          <w:color w:val="000000"/>
          <w:szCs w:val="32"/>
        </w:rPr>
      </w:pPr>
      <w:r>
        <w:rPr>
          <w:bCs/>
          <w:color w:val="000000"/>
          <w:szCs w:val="32"/>
        </w:rPr>
        <w:t>2.</w:t>
      </w:r>
      <w:r>
        <w:rPr>
          <w:rFonts w:hint="eastAsia"/>
          <w:bCs/>
          <w:color w:val="000000"/>
          <w:szCs w:val="32"/>
        </w:rPr>
        <w:t>积极配合重点企业、重大项目的上市、融资工作，推广“地证同交”</w:t>
      </w:r>
      <w:r>
        <w:rPr>
          <w:rFonts w:hint="eastAsia"/>
          <w:bCs/>
          <w:color w:val="000000"/>
          <w:szCs w:val="32"/>
          <w:lang w:eastAsia="zh-CN"/>
        </w:rPr>
        <w:t>“房证同交”</w:t>
      </w:r>
      <w:r>
        <w:rPr>
          <w:rFonts w:hint="eastAsia"/>
          <w:bCs/>
          <w:color w:val="000000"/>
          <w:szCs w:val="32"/>
        </w:rPr>
        <w:t>改革</w:t>
      </w:r>
      <w:r>
        <w:rPr>
          <w:rFonts w:hint="eastAsia"/>
          <w:bCs/>
          <w:color w:val="000000"/>
          <w:szCs w:val="32"/>
          <w:lang w:eastAsia="zh-CN"/>
        </w:rPr>
        <w:t>。</w:t>
      </w:r>
      <w:r>
        <w:rPr>
          <w:rFonts w:hint="eastAsia"/>
          <w:bCs/>
          <w:color w:val="000000"/>
          <w:szCs w:val="32"/>
        </w:rPr>
        <w:t>实现交地即交证，显化企业资产，进一步降低企业用地融资成本。进一步明晰权利主体，有效化解企业不动产登记历史遗留问题，支持优质市场主体做大做强。</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开发利用股</w:t>
      </w:r>
      <w:r>
        <w:rPr>
          <w:rFonts w:hint="eastAsia" w:ascii="仿宋_GB2312" w:hAnsi="仿宋_GB2312" w:cs="仿宋_GB2312"/>
          <w:bCs/>
          <w:color w:val="000000"/>
          <w:szCs w:val="32"/>
        </w:rPr>
        <w:t>、</w:t>
      </w:r>
      <w:r>
        <w:rPr>
          <w:rFonts w:hint="eastAsia" w:ascii="仿宋_GB2312" w:hAnsi="仿宋_GB2312" w:cs="仿宋_GB2312"/>
          <w:bCs/>
          <w:color w:val="000000"/>
          <w:szCs w:val="32"/>
          <w:lang w:eastAsia="zh-CN"/>
        </w:rPr>
        <w:t>确权登记股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bCs/>
          <w:color w:val="000000"/>
          <w:szCs w:val="32"/>
        </w:rPr>
        <w:t>3.</w:t>
      </w:r>
      <w:r>
        <w:rPr>
          <w:rFonts w:hint="eastAsia"/>
          <w:bCs/>
          <w:color w:val="000000"/>
          <w:szCs w:val="32"/>
          <w:lang w:eastAsia="zh-CN"/>
        </w:rPr>
        <w:t>构建产业用地政策支撑体系。结合国家及省出台的支持各类产业发展的政策，分行业、分类别整合归类，汇编成册印制产业用地政策口袋书</w:t>
      </w:r>
      <w:r>
        <w:rPr>
          <w:rFonts w:hint="eastAsia"/>
          <w:bCs/>
          <w:color w:val="000000"/>
          <w:szCs w:val="32"/>
          <w:lang w:val="en-US" w:eastAsia="zh-CN"/>
        </w:rPr>
        <w:t>，为区政府、相关行业主管部门和各类用地主体提出政策支撑</w:t>
      </w:r>
      <w:r>
        <w:rPr>
          <w:rFonts w:hint="eastAsia"/>
          <w:bCs/>
          <w:color w:val="000000"/>
          <w:szCs w:val="32"/>
        </w:rPr>
        <w:t>。（</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开发利用股</w:t>
      </w:r>
      <w:r>
        <w:rPr>
          <w:rFonts w:hint="eastAsia" w:ascii="仿宋_GB2312" w:hAnsi="仿宋_GB2312" w:cs="仿宋_GB2312"/>
          <w:bCs/>
          <w:color w:val="000000"/>
          <w:szCs w:val="32"/>
        </w:rPr>
        <w:t>）</w:t>
      </w:r>
    </w:p>
    <w:p>
      <w:pPr>
        <w:spacing w:line="560" w:lineRule="exact"/>
        <w:ind w:firstLine="640" w:firstLineChars="200"/>
        <w:rPr>
          <w:rFonts w:ascii="仿宋_GB2312" w:hAnsi="仿宋_GB2312" w:cs="仿宋_GB2312"/>
          <w:bCs/>
          <w:color w:val="000000"/>
          <w:szCs w:val="32"/>
        </w:rPr>
      </w:pPr>
      <w:r>
        <w:rPr>
          <w:rFonts w:ascii="仿宋_GB2312" w:hAnsi="仿宋_GB2312" w:cs="仿宋_GB2312"/>
          <w:bCs/>
          <w:color w:val="000000"/>
          <w:szCs w:val="32"/>
        </w:rPr>
        <w:t>4.</w:t>
      </w:r>
      <w:r>
        <w:rPr>
          <w:rFonts w:hint="eastAsia" w:ascii="仿宋_GB2312" w:hAnsi="仿宋_GB2312" w:cs="仿宋_GB2312"/>
          <w:bCs/>
          <w:color w:val="000000"/>
          <w:szCs w:val="32"/>
        </w:rPr>
        <w:t>落实差别化地价政策，符合条件的战略性新兴产业项目可在工业用地最低价基础上优惠出让。</w:t>
      </w:r>
      <w:r>
        <w:rPr>
          <w:rFonts w:hint="eastAsia"/>
          <w:bCs/>
          <w:color w:val="000000"/>
          <w:szCs w:val="32"/>
        </w:rPr>
        <w:t>（</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w:t>
      </w:r>
      <w:r>
        <w:rPr>
          <w:rFonts w:hint="eastAsia" w:ascii="仿宋_GB2312" w:hAnsi="仿宋_GB2312" w:cs="仿宋_GB2312"/>
          <w:bCs/>
          <w:color w:val="000000"/>
          <w:szCs w:val="32"/>
          <w:lang w:eastAsia="zh-CN"/>
        </w:rPr>
        <w:t>开发利用股</w:t>
      </w:r>
      <w:r>
        <w:rPr>
          <w:rFonts w:hint="eastAsia" w:ascii="仿宋_GB2312" w:hAnsi="仿宋_GB2312" w:cs="仿宋_GB2312"/>
          <w:bCs/>
          <w:color w:val="000000"/>
          <w:szCs w:val="32"/>
        </w:rPr>
        <w:t>）</w:t>
      </w:r>
    </w:p>
    <w:p>
      <w:pPr>
        <w:widowControl/>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（六）不断改进登记服务，加强主体产权保障</w:t>
      </w:r>
    </w:p>
    <w:p>
      <w:pPr>
        <w:spacing w:line="560" w:lineRule="exact"/>
        <w:ind w:firstLine="640" w:firstLineChars="200"/>
        <w:rPr>
          <w:bCs/>
          <w:color w:val="000000"/>
          <w:szCs w:val="32"/>
        </w:rPr>
      </w:pPr>
      <w:r>
        <w:rPr>
          <w:bCs/>
          <w:color w:val="000000"/>
          <w:szCs w:val="32"/>
        </w:rPr>
        <w:t>1.</w:t>
      </w:r>
      <w:r>
        <w:rPr>
          <w:rFonts w:hint="eastAsia"/>
          <w:bCs/>
          <w:color w:val="000000"/>
          <w:szCs w:val="32"/>
        </w:rPr>
        <w:t>按期完成房屋产权登记确权颁证清零行动工作目标任务。做到</w:t>
      </w:r>
      <w:r>
        <w:rPr>
          <w:bCs/>
          <w:color w:val="000000"/>
          <w:szCs w:val="32"/>
        </w:rPr>
        <w:t>“</w:t>
      </w:r>
      <w:r>
        <w:rPr>
          <w:rFonts w:hint="eastAsia"/>
          <w:bCs/>
          <w:color w:val="000000"/>
          <w:szCs w:val="32"/>
        </w:rPr>
        <w:t>应登尽登、愿登尽登</w:t>
      </w:r>
      <w:r>
        <w:rPr>
          <w:bCs/>
          <w:color w:val="000000"/>
          <w:szCs w:val="32"/>
        </w:rPr>
        <w:t>”</w:t>
      </w:r>
      <w:r>
        <w:rPr>
          <w:rFonts w:hint="eastAsia"/>
          <w:bCs/>
          <w:color w:val="000000"/>
          <w:szCs w:val="32"/>
        </w:rPr>
        <w:t>。</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室：确权登记科、不动产登记中心</w:t>
      </w:r>
      <w:r>
        <w:rPr>
          <w:rFonts w:hint="eastAsia" w:ascii="仿宋_GB2312" w:hAnsi="仿宋_GB2312" w:cs="仿宋_GB2312"/>
          <w:bCs/>
          <w:color w:val="000000"/>
          <w:szCs w:val="32"/>
          <w:lang w:eastAsia="zh-CN"/>
        </w:rPr>
        <w:t>、清零办</w:t>
      </w:r>
      <w:r>
        <w:rPr>
          <w:rFonts w:hint="eastAsia" w:ascii="仿宋_GB2312" w:hAnsi="仿宋_GB2312" w:cs="仿宋_GB2312"/>
          <w:bCs/>
          <w:color w:val="000000"/>
          <w:szCs w:val="32"/>
        </w:rPr>
        <w:t>）</w:t>
      </w:r>
    </w:p>
    <w:p>
      <w:pPr>
        <w:spacing w:line="560" w:lineRule="exact"/>
        <w:ind w:firstLine="640" w:firstLineChars="200"/>
        <w:rPr>
          <w:bCs/>
          <w:color w:val="000000"/>
          <w:szCs w:val="32"/>
        </w:rPr>
      </w:pPr>
      <w:r>
        <w:rPr>
          <w:bCs/>
          <w:color w:val="000000"/>
          <w:szCs w:val="32"/>
        </w:rPr>
        <w:t>2.</w:t>
      </w:r>
      <w:r>
        <w:rPr>
          <w:rFonts w:hint="eastAsia"/>
          <w:bCs/>
          <w:color w:val="000000"/>
          <w:szCs w:val="32"/>
        </w:rPr>
        <w:t>提升</w:t>
      </w:r>
      <w:r>
        <w:rPr>
          <w:rFonts w:hint="eastAsia"/>
          <w:bCs/>
          <w:color w:val="000000"/>
          <w:szCs w:val="32"/>
          <w:lang w:eastAsia="zh-CN"/>
        </w:rPr>
        <w:t>我区</w:t>
      </w:r>
      <w:r>
        <w:rPr>
          <w:rFonts w:hint="eastAsia"/>
          <w:bCs/>
          <w:color w:val="000000"/>
          <w:szCs w:val="32"/>
        </w:rPr>
        <w:t>营商环境</w:t>
      </w:r>
      <w:r>
        <w:rPr>
          <w:bCs/>
          <w:color w:val="000000"/>
          <w:szCs w:val="32"/>
        </w:rPr>
        <w:t>“</w:t>
      </w:r>
      <w:r>
        <w:rPr>
          <w:rFonts w:hint="eastAsia"/>
          <w:bCs/>
          <w:color w:val="000000"/>
          <w:szCs w:val="32"/>
        </w:rPr>
        <w:t>登记财产</w:t>
      </w:r>
      <w:r>
        <w:rPr>
          <w:bCs/>
          <w:color w:val="000000"/>
          <w:szCs w:val="32"/>
        </w:rPr>
        <w:t>”</w:t>
      </w:r>
      <w:r>
        <w:rPr>
          <w:rFonts w:hint="eastAsia"/>
          <w:bCs/>
          <w:color w:val="000000"/>
          <w:szCs w:val="32"/>
        </w:rPr>
        <w:t>指标水平。对标全国一流，通过优化办理模式、归并办事环节、加强信息化建设、延伸服务网点、推进改革试点等多种手段，力争进入全省第一方阵。</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室：不动产登记中心）</w:t>
      </w:r>
    </w:p>
    <w:p>
      <w:pPr>
        <w:spacing w:line="560" w:lineRule="exact"/>
        <w:ind w:firstLine="640" w:firstLineChars="200"/>
        <w:rPr>
          <w:rFonts w:ascii="仿宋" w:hAnsi="仿宋" w:eastAsia="仿宋" w:cs="仿宋"/>
          <w:bCs/>
          <w:color w:val="000000"/>
          <w:szCs w:val="32"/>
        </w:rPr>
      </w:pPr>
      <w:r>
        <w:rPr>
          <w:bCs/>
          <w:color w:val="000000"/>
          <w:szCs w:val="32"/>
        </w:rPr>
        <w:t>3.</w:t>
      </w:r>
      <w:r>
        <w:rPr>
          <w:rFonts w:hint="eastAsia"/>
          <w:bCs/>
          <w:color w:val="000000"/>
          <w:szCs w:val="32"/>
        </w:rPr>
        <w:t>不断提高不动产登记便捷度。全面推广企业不动产登记电子证照，持不动产登记证书的民营企业间非住宅类房屋转移登记半天办结，企业不动产抵押一天办结。探索不动产转移登记与抵押登记</w:t>
      </w:r>
      <w:r>
        <w:rPr>
          <w:bCs/>
          <w:color w:val="000000"/>
          <w:szCs w:val="32"/>
        </w:rPr>
        <w:t>“</w:t>
      </w:r>
      <w:r>
        <w:rPr>
          <w:rFonts w:hint="eastAsia"/>
          <w:bCs/>
          <w:color w:val="000000"/>
          <w:szCs w:val="32"/>
        </w:rPr>
        <w:t>一窗联办</w:t>
      </w:r>
      <w:r>
        <w:rPr>
          <w:bCs/>
          <w:color w:val="000000"/>
          <w:szCs w:val="32"/>
        </w:rPr>
        <w:t>”</w:t>
      </w:r>
      <w:r>
        <w:rPr>
          <w:rFonts w:hint="eastAsia"/>
          <w:bCs/>
          <w:color w:val="000000"/>
          <w:szCs w:val="32"/>
        </w:rPr>
        <w:t>，推进不动产抵押登记在银行</w:t>
      </w:r>
      <w:r>
        <w:rPr>
          <w:bCs/>
          <w:color w:val="000000"/>
          <w:szCs w:val="32"/>
        </w:rPr>
        <w:t>“</w:t>
      </w:r>
      <w:r>
        <w:rPr>
          <w:rFonts w:hint="eastAsia"/>
          <w:bCs/>
          <w:color w:val="000000"/>
          <w:szCs w:val="32"/>
        </w:rPr>
        <w:t>一站办结</w:t>
      </w:r>
      <w:r>
        <w:rPr>
          <w:bCs/>
          <w:color w:val="000000"/>
          <w:szCs w:val="32"/>
        </w:rPr>
        <w:t>”“</w:t>
      </w:r>
      <w:r>
        <w:rPr>
          <w:rFonts w:hint="eastAsia"/>
          <w:bCs/>
          <w:color w:val="000000"/>
          <w:szCs w:val="32"/>
        </w:rPr>
        <w:t>全省通办</w:t>
      </w:r>
      <w:r>
        <w:rPr>
          <w:bCs/>
          <w:color w:val="000000"/>
          <w:szCs w:val="32"/>
        </w:rPr>
        <w:t>”</w:t>
      </w:r>
      <w:r>
        <w:rPr>
          <w:rFonts w:hint="eastAsia"/>
          <w:bCs/>
          <w:color w:val="000000"/>
          <w:szCs w:val="32"/>
        </w:rPr>
        <w:t>，实行不动产登记与缴税</w:t>
      </w:r>
      <w:r>
        <w:rPr>
          <w:bCs/>
          <w:color w:val="000000"/>
          <w:szCs w:val="32"/>
        </w:rPr>
        <w:t>“</w:t>
      </w:r>
      <w:r>
        <w:rPr>
          <w:rFonts w:hint="eastAsia"/>
          <w:bCs/>
          <w:color w:val="000000"/>
          <w:szCs w:val="32"/>
        </w:rPr>
        <w:t>一网通办</w:t>
      </w:r>
      <w:r>
        <w:rPr>
          <w:bCs/>
          <w:color w:val="000000"/>
          <w:szCs w:val="32"/>
        </w:rPr>
        <w:t>”</w:t>
      </w:r>
      <w:r>
        <w:rPr>
          <w:rFonts w:hint="eastAsia"/>
          <w:bCs/>
          <w:color w:val="000000"/>
          <w:szCs w:val="32"/>
        </w:rPr>
        <w:t>。进一步优化不动产登记流程，方便小微企业、个体工商户等市场主体利用自有不动产开办企业、抵押融资、交易变现。</w:t>
      </w:r>
      <w:r>
        <w:rPr>
          <w:rFonts w:hint="eastAsia" w:ascii="仿宋_GB2312" w:hAnsi="仿宋_GB2312" w:cs="仿宋_GB2312"/>
          <w:bCs/>
          <w:color w:val="000000"/>
          <w:szCs w:val="32"/>
        </w:rPr>
        <w:t>（责任</w:t>
      </w:r>
      <w:r>
        <w:rPr>
          <w:rFonts w:hint="eastAsia" w:ascii="仿宋_GB2312" w:hAnsi="仿宋_GB2312" w:cs="仿宋_GB2312"/>
          <w:bCs/>
          <w:color w:val="000000"/>
          <w:szCs w:val="32"/>
          <w:lang w:eastAsia="zh-CN"/>
        </w:rPr>
        <w:t>股</w:t>
      </w:r>
      <w:r>
        <w:rPr>
          <w:rFonts w:hint="eastAsia" w:ascii="仿宋_GB2312" w:hAnsi="仿宋_GB2312" w:cs="仿宋_GB2312"/>
          <w:bCs/>
          <w:color w:val="000000"/>
          <w:szCs w:val="32"/>
        </w:rPr>
        <w:t>室：不动产</w:t>
      </w:r>
      <w:r>
        <w:rPr>
          <w:rFonts w:hint="eastAsia" w:ascii="仿宋_GB2312" w:hAnsi="仿宋_GB2312" w:cs="仿宋_GB2312"/>
          <w:bCs/>
          <w:color w:val="000000"/>
          <w:szCs w:val="32"/>
          <w:lang w:eastAsia="zh-CN"/>
        </w:rPr>
        <w:t>登记</w:t>
      </w:r>
      <w:r>
        <w:rPr>
          <w:rFonts w:hint="eastAsia" w:ascii="仿宋_GB2312" w:hAnsi="仿宋_GB2312" w:cs="仿宋_GB2312"/>
          <w:bCs/>
          <w:color w:val="000000"/>
          <w:szCs w:val="32"/>
        </w:rPr>
        <w:t>中心）</w:t>
      </w:r>
    </w:p>
    <w:p>
      <w:pPr>
        <w:numPr>
          <w:ilvl w:val="0"/>
          <w:numId w:val="0"/>
        </w:numPr>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（七）提升审批效率，打造产业落地快速通道</w:t>
      </w:r>
    </w:p>
    <w:p>
      <w:pPr>
        <w:spacing w:line="560" w:lineRule="exact"/>
        <w:ind w:firstLine="640" w:firstLineChars="200"/>
        <w:rPr>
          <w:bCs/>
          <w:color w:val="000000"/>
          <w:szCs w:val="32"/>
        </w:rPr>
      </w:pPr>
      <w:r>
        <w:rPr>
          <w:rFonts w:eastAsia="仿宋"/>
          <w:bCs/>
          <w:color w:val="000000"/>
          <w:szCs w:val="32"/>
        </w:rPr>
        <w:t>1.</w:t>
      </w:r>
      <w:r>
        <w:rPr>
          <w:rFonts w:hint="eastAsia" w:eastAsia="仿宋"/>
          <w:bCs/>
          <w:color w:val="000000"/>
          <w:szCs w:val="32"/>
          <w:lang w:eastAsia="zh-CN"/>
        </w:rPr>
        <w:t>强化重点工程项目用地服务。</w:t>
      </w:r>
      <w:r>
        <w:rPr>
          <w:rFonts w:hint="eastAsia"/>
          <w:bCs/>
          <w:color w:val="000000"/>
          <w:szCs w:val="32"/>
        </w:rPr>
        <w:t>主动与发改、住建、商务、工信、交通等部门对接，及时了解重点工程项目用地需求，与用地单位积极对接，精准服务，挂图作战，提前调度，搭建重点项目报批“高速路”。（责任</w:t>
      </w:r>
      <w:r>
        <w:rPr>
          <w:rFonts w:hint="eastAsia"/>
          <w:bCs/>
          <w:color w:val="000000"/>
          <w:szCs w:val="32"/>
          <w:lang w:eastAsia="zh-CN"/>
        </w:rPr>
        <w:t>股</w:t>
      </w:r>
      <w:r>
        <w:rPr>
          <w:rFonts w:hint="eastAsia"/>
          <w:bCs/>
          <w:color w:val="000000"/>
          <w:szCs w:val="32"/>
        </w:rPr>
        <w:t>室：用途管制</w:t>
      </w:r>
      <w:r>
        <w:rPr>
          <w:rFonts w:hint="eastAsia"/>
          <w:bCs/>
          <w:color w:val="000000"/>
          <w:szCs w:val="32"/>
          <w:lang w:eastAsia="zh-CN"/>
        </w:rPr>
        <w:t>股</w:t>
      </w:r>
      <w:r>
        <w:rPr>
          <w:rFonts w:hint="eastAsia"/>
          <w:bCs/>
          <w:color w:val="000000"/>
          <w:szCs w:val="32"/>
        </w:rPr>
        <w:t>）</w:t>
      </w:r>
    </w:p>
    <w:p>
      <w:pPr>
        <w:spacing w:line="560" w:lineRule="exact"/>
        <w:ind w:firstLine="640" w:firstLineChars="200"/>
        <w:rPr>
          <w:bCs/>
          <w:color w:val="000000"/>
          <w:szCs w:val="32"/>
        </w:rPr>
      </w:pPr>
      <w:r>
        <w:rPr>
          <w:bCs/>
          <w:color w:val="000000"/>
          <w:szCs w:val="32"/>
        </w:rPr>
        <w:t>2.</w:t>
      </w:r>
      <w:r>
        <w:rPr>
          <w:rFonts w:hint="eastAsia"/>
          <w:bCs/>
          <w:color w:val="000000"/>
          <w:szCs w:val="32"/>
        </w:rPr>
        <w:t>持续优化自然资源领域“三级联办”平台。将市、县级审批业务全部纳入联办平台，实现全省自然资源系统业务全流程网办；推进自然资源审批事项“全省通办”“跨省通办”，推动容缺受理、并行审查，对重点项目、民生工程审批事项实行“容缺受理，并行审查，同步完善，一次补正”，服务项目尽快落地；畅通咨询服务渠道，积极向市场主体提供政策咨询、数据查询等服务。（责任</w:t>
      </w:r>
      <w:r>
        <w:rPr>
          <w:rFonts w:hint="eastAsia"/>
          <w:bCs/>
          <w:color w:val="000000"/>
          <w:szCs w:val="32"/>
          <w:lang w:eastAsia="zh-CN"/>
        </w:rPr>
        <w:t>股</w:t>
      </w:r>
      <w:r>
        <w:rPr>
          <w:rFonts w:hint="eastAsia"/>
          <w:bCs/>
          <w:color w:val="000000"/>
          <w:szCs w:val="32"/>
        </w:rPr>
        <w:t>室：</w:t>
      </w:r>
      <w:r>
        <w:rPr>
          <w:rFonts w:hint="eastAsia"/>
          <w:bCs/>
          <w:color w:val="000000"/>
          <w:szCs w:val="32"/>
          <w:lang w:eastAsia="zh-CN"/>
        </w:rPr>
        <w:t>行政审批股</w:t>
      </w:r>
      <w:r>
        <w:rPr>
          <w:rFonts w:hint="eastAsia"/>
          <w:bCs/>
          <w:color w:val="000000"/>
          <w:szCs w:val="32"/>
        </w:rPr>
        <w:t>）</w:t>
      </w:r>
    </w:p>
    <w:p>
      <w:pPr>
        <w:spacing w:line="560" w:lineRule="exact"/>
        <w:ind w:firstLine="640" w:firstLineChars="200"/>
        <w:rPr>
          <w:rFonts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（八）严格督察执法，营造自然资源开发利用良好氛围</w:t>
      </w:r>
    </w:p>
    <w:p>
      <w:pPr>
        <w:spacing w:line="560" w:lineRule="exact"/>
        <w:ind w:firstLine="640" w:firstLineChars="200"/>
        <w:rPr>
          <w:bCs/>
          <w:color w:val="000000"/>
          <w:szCs w:val="32"/>
        </w:rPr>
      </w:pPr>
      <w:r>
        <w:rPr>
          <w:bCs/>
          <w:color w:val="000000"/>
          <w:szCs w:val="32"/>
        </w:rPr>
        <w:t>1.</w:t>
      </w:r>
      <w:r>
        <w:rPr>
          <w:rFonts w:hint="eastAsia"/>
          <w:bCs/>
          <w:color w:val="000000"/>
          <w:szCs w:val="32"/>
        </w:rPr>
        <w:t>完善</w:t>
      </w:r>
      <w:r>
        <w:rPr>
          <w:bCs/>
          <w:color w:val="000000"/>
          <w:szCs w:val="32"/>
        </w:rPr>
        <w:t>“</w:t>
      </w:r>
      <w:r>
        <w:rPr>
          <w:rFonts w:hint="eastAsia"/>
          <w:bCs/>
          <w:color w:val="000000"/>
          <w:szCs w:val="32"/>
        </w:rPr>
        <w:t>双通报</w:t>
      </w:r>
      <w:r>
        <w:rPr>
          <w:bCs/>
          <w:color w:val="000000"/>
          <w:szCs w:val="32"/>
        </w:rPr>
        <w:t>”</w:t>
      </w:r>
      <w:r>
        <w:rPr>
          <w:rFonts w:hint="eastAsia"/>
          <w:bCs/>
          <w:color w:val="000000"/>
          <w:szCs w:val="32"/>
        </w:rPr>
        <w:t>制度，建立</w:t>
      </w:r>
      <w:r>
        <w:rPr>
          <w:bCs/>
          <w:color w:val="000000"/>
          <w:szCs w:val="32"/>
        </w:rPr>
        <w:t>“</w:t>
      </w:r>
      <w:r>
        <w:rPr>
          <w:rFonts w:hint="eastAsia"/>
          <w:bCs/>
          <w:color w:val="000000"/>
          <w:szCs w:val="32"/>
        </w:rPr>
        <w:t>双调度</w:t>
      </w:r>
      <w:r>
        <w:rPr>
          <w:bCs/>
          <w:color w:val="000000"/>
          <w:szCs w:val="32"/>
        </w:rPr>
        <w:t>”</w:t>
      </w:r>
      <w:r>
        <w:rPr>
          <w:rFonts w:hint="eastAsia"/>
          <w:bCs/>
          <w:color w:val="000000"/>
          <w:szCs w:val="32"/>
        </w:rPr>
        <w:t>机制，建立定期督察机制，督促用地单位完善用地手续和拆除复耕到位，及时消除违法状态；分析预判全</w:t>
      </w:r>
      <w:r>
        <w:rPr>
          <w:rFonts w:hint="eastAsia"/>
          <w:bCs/>
          <w:color w:val="000000"/>
          <w:szCs w:val="32"/>
          <w:lang w:eastAsia="zh-CN"/>
        </w:rPr>
        <w:t>区</w:t>
      </w:r>
      <w:r>
        <w:rPr>
          <w:rFonts w:hint="eastAsia"/>
          <w:bCs/>
          <w:color w:val="000000"/>
          <w:szCs w:val="32"/>
        </w:rPr>
        <w:t>土地卫片执法形势，协调解决卫片执法违法图斑补办完善用地手续存在的困难和问题，推进重点工程项目用地保障工作，对涉及的交通、能源、水利设施、保障性住房、设施农业等违法违规用地问题，形成清单及时移交相关部门；督促</w:t>
      </w:r>
      <w:r>
        <w:rPr>
          <w:rFonts w:hint="eastAsia"/>
          <w:bCs/>
          <w:color w:val="000000"/>
          <w:szCs w:val="32"/>
          <w:lang w:eastAsia="zh-CN"/>
        </w:rPr>
        <w:t>各级政府</w:t>
      </w:r>
      <w:r>
        <w:rPr>
          <w:rFonts w:hint="eastAsia"/>
          <w:bCs/>
          <w:color w:val="000000"/>
          <w:szCs w:val="32"/>
        </w:rPr>
        <w:t>切实履行主体责任到位，履行监管和服务职责到位，消除违法状态到位。（责</w:t>
      </w:r>
      <w:r>
        <w:rPr>
          <w:rFonts w:hint="eastAsia"/>
          <w:bCs/>
          <w:color w:val="000000"/>
          <w:szCs w:val="32"/>
          <w:lang w:eastAsia="zh-CN"/>
        </w:rPr>
        <w:t>股</w:t>
      </w:r>
      <w:r>
        <w:rPr>
          <w:rFonts w:hint="eastAsia"/>
          <w:bCs/>
          <w:color w:val="000000"/>
          <w:szCs w:val="32"/>
        </w:rPr>
        <w:t>科室：</w:t>
      </w:r>
      <w:r>
        <w:rPr>
          <w:rFonts w:hint="eastAsia"/>
          <w:bCs/>
          <w:color w:val="000000"/>
          <w:szCs w:val="32"/>
          <w:lang w:eastAsia="zh-CN"/>
        </w:rPr>
        <w:t>执法监察大</w:t>
      </w:r>
      <w:r>
        <w:rPr>
          <w:rFonts w:hint="eastAsia"/>
          <w:bCs/>
          <w:color w:val="000000"/>
          <w:szCs w:val="32"/>
        </w:rPr>
        <w:t>队）</w:t>
      </w:r>
    </w:p>
    <w:p>
      <w:pPr>
        <w:spacing w:line="560" w:lineRule="exact"/>
        <w:ind w:firstLine="640" w:firstLineChars="200"/>
        <w:rPr>
          <w:rFonts w:hint="eastAsia" w:eastAsia="仿宋_GB2312"/>
          <w:bCs/>
          <w:color w:val="000000"/>
          <w:szCs w:val="32"/>
          <w:lang w:eastAsia="zh-CN"/>
        </w:rPr>
      </w:pPr>
      <w:r>
        <w:rPr>
          <w:bCs/>
          <w:color w:val="000000"/>
          <w:szCs w:val="32"/>
        </w:rPr>
        <w:t>2.</w:t>
      </w:r>
      <w:r>
        <w:rPr>
          <w:rFonts w:hint="eastAsia"/>
          <w:bCs/>
          <w:color w:val="000000"/>
          <w:szCs w:val="32"/>
        </w:rPr>
        <w:t>严厉打击非法违法开采矿产资源行为，加大巡查、突查力度，确保问题隐患早发现、早制止、早查处。充分发挥政府主导、部门联动、责任落地的打非治违体系优势，压实属地主体责任和部门监管责任，齐抓共管、强抓落实，切实维护矿业秩序稳定。</w:t>
      </w:r>
      <w:r>
        <w:rPr>
          <w:rFonts w:hint="eastAsia"/>
          <w:bCs/>
          <w:color w:val="000000"/>
          <w:szCs w:val="32"/>
          <w:lang w:eastAsia="zh-CN"/>
        </w:rPr>
        <w:t>（</w:t>
      </w:r>
      <w:r>
        <w:rPr>
          <w:rFonts w:hint="eastAsia"/>
          <w:bCs/>
          <w:color w:val="000000"/>
          <w:szCs w:val="32"/>
        </w:rPr>
        <w:t>责任</w:t>
      </w:r>
      <w:r>
        <w:rPr>
          <w:rFonts w:hint="eastAsia"/>
          <w:bCs/>
          <w:color w:val="000000"/>
          <w:szCs w:val="32"/>
          <w:lang w:eastAsia="zh-CN"/>
        </w:rPr>
        <w:t>股</w:t>
      </w:r>
      <w:r>
        <w:rPr>
          <w:rFonts w:hint="eastAsia"/>
          <w:bCs/>
          <w:color w:val="000000"/>
          <w:szCs w:val="32"/>
        </w:rPr>
        <w:t>室：</w:t>
      </w:r>
      <w:r>
        <w:rPr>
          <w:rFonts w:hint="eastAsia"/>
          <w:bCs/>
          <w:color w:val="000000"/>
          <w:szCs w:val="32"/>
          <w:lang w:eastAsia="zh-CN"/>
        </w:rPr>
        <w:t>执法监察大</w:t>
      </w:r>
      <w:r>
        <w:rPr>
          <w:rFonts w:hint="eastAsia"/>
          <w:bCs/>
          <w:color w:val="000000"/>
          <w:szCs w:val="32"/>
        </w:rPr>
        <w:t>队</w:t>
      </w:r>
      <w:r>
        <w:rPr>
          <w:rFonts w:hint="eastAsia"/>
          <w:bCs/>
          <w:color w:val="000000"/>
          <w:szCs w:val="32"/>
          <w:lang w:eastAsia="zh-CN"/>
        </w:rPr>
        <w:t>、矿管股）</w:t>
      </w:r>
    </w:p>
    <w:p>
      <w:pPr>
        <w:widowControl/>
        <w:numPr>
          <w:ilvl w:val="0"/>
          <w:numId w:val="1"/>
        </w:numPr>
        <w:spacing w:line="560" w:lineRule="exact"/>
        <w:ind w:firstLine="640" w:firstLineChars="200"/>
        <w:rPr>
          <w:rFonts w:ascii="黑体" w:hAnsi="黑体" w:eastAsia="黑体" w:cs="黑体"/>
          <w:bCs/>
          <w:color w:val="000000"/>
          <w:szCs w:val="32"/>
        </w:rPr>
      </w:pPr>
      <w:r>
        <w:rPr>
          <w:rFonts w:hint="eastAsia" w:ascii="黑体" w:hAnsi="黑体" w:eastAsia="黑体" w:cs="黑体"/>
          <w:bCs/>
          <w:color w:val="000000"/>
          <w:szCs w:val="32"/>
        </w:rPr>
        <w:t>保障措施</w:t>
      </w:r>
    </w:p>
    <w:p>
      <w:pPr>
        <w:numPr>
          <w:ilvl w:val="0"/>
          <w:numId w:val="2"/>
        </w:numPr>
        <w:spacing w:line="560" w:lineRule="exact"/>
        <w:ind w:firstLine="640" w:firstLineChars="200"/>
        <w:rPr>
          <w:bCs/>
          <w:color w:val="000000"/>
          <w:szCs w:val="32"/>
        </w:rPr>
      </w:pPr>
      <w:r>
        <w:rPr>
          <w:rFonts w:hint="eastAsia" w:ascii="楷体_GB2312" w:hAnsi="楷体_GB2312" w:eastAsia="楷体_GB2312" w:cs="楷体_GB2312"/>
          <w:bCs/>
          <w:color w:val="000000"/>
          <w:szCs w:val="32"/>
        </w:rPr>
        <w:t>加强组织领导。</w:t>
      </w:r>
      <w:r>
        <w:rPr>
          <w:rFonts w:hint="eastAsia"/>
          <w:bCs/>
          <w:color w:val="000000"/>
          <w:szCs w:val="32"/>
        </w:rPr>
        <w:t>各</w:t>
      </w:r>
      <w:r>
        <w:rPr>
          <w:rFonts w:hint="eastAsia"/>
          <w:bCs/>
          <w:color w:val="000000"/>
          <w:szCs w:val="32"/>
          <w:lang w:eastAsia="zh-CN"/>
        </w:rPr>
        <w:t>股</w:t>
      </w:r>
      <w:r>
        <w:rPr>
          <w:rFonts w:hint="eastAsia"/>
          <w:bCs/>
          <w:color w:val="000000"/>
          <w:szCs w:val="32"/>
        </w:rPr>
        <w:t>室</w:t>
      </w:r>
      <w:r>
        <w:rPr>
          <w:rFonts w:hint="eastAsia"/>
          <w:bCs/>
          <w:color w:val="000000"/>
          <w:szCs w:val="32"/>
          <w:lang w:eastAsia="zh-CN"/>
        </w:rPr>
        <w:t>、自然资源所、事业单位</w:t>
      </w:r>
      <w:r>
        <w:rPr>
          <w:rFonts w:hint="eastAsia"/>
          <w:bCs/>
          <w:color w:val="000000"/>
          <w:szCs w:val="32"/>
        </w:rPr>
        <w:t>要在长治市</w:t>
      </w:r>
      <w:r>
        <w:rPr>
          <w:rFonts w:hint="eastAsia"/>
          <w:bCs/>
          <w:color w:val="000000"/>
          <w:szCs w:val="32"/>
          <w:lang w:eastAsia="zh-CN"/>
        </w:rPr>
        <w:t>上党区</w:t>
      </w:r>
      <w:r>
        <w:rPr>
          <w:rFonts w:hint="eastAsia"/>
          <w:bCs/>
          <w:color w:val="000000"/>
          <w:szCs w:val="32"/>
        </w:rPr>
        <w:t>自然资源</w:t>
      </w:r>
      <w:r>
        <w:rPr>
          <w:rFonts w:hint="eastAsia"/>
          <w:bCs/>
          <w:color w:val="000000"/>
          <w:szCs w:val="32"/>
          <w:lang w:eastAsia="zh-CN"/>
        </w:rPr>
        <w:t>局促</w:t>
      </w:r>
      <w:r>
        <w:rPr>
          <w:rFonts w:hint="eastAsia"/>
          <w:bCs/>
          <w:color w:val="000000"/>
          <w:szCs w:val="32"/>
        </w:rPr>
        <w:t>进市场主体倍增工作</w:t>
      </w:r>
      <w:r>
        <w:rPr>
          <w:rFonts w:hint="eastAsia"/>
          <w:bCs/>
          <w:color w:val="000000"/>
          <w:szCs w:val="32"/>
          <w:lang w:eastAsia="zh-CN"/>
        </w:rPr>
        <w:t>专班</w:t>
      </w:r>
      <w:r>
        <w:rPr>
          <w:rFonts w:hint="eastAsia"/>
          <w:bCs/>
          <w:color w:val="000000"/>
          <w:szCs w:val="32"/>
        </w:rPr>
        <w:t>的统一领导下，提高政治站位、勇挑责任重担、精心安排部署、扎实有效推进，形成</w:t>
      </w:r>
      <w:r>
        <w:rPr>
          <w:bCs/>
          <w:color w:val="000000"/>
          <w:szCs w:val="32"/>
        </w:rPr>
        <w:t>“</w:t>
      </w:r>
      <w:r>
        <w:rPr>
          <w:rFonts w:hint="eastAsia"/>
          <w:bCs/>
          <w:color w:val="000000"/>
          <w:szCs w:val="32"/>
        </w:rPr>
        <w:t>横向到边、纵向到底、责任到人</w:t>
      </w:r>
      <w:r>
        <w:rPr>
          <w:bCs/>
          <w:color w:val="000000"/>
          <w:szCs w:val="32"/>
        </w:rPr>
        <w:t>”</w:t>
      </w:r>
      <w:r>
        <w:rPr>
          <w:rFonts w:hint="eastAsia"/>
          <w:bCs/>
          <w:color w:val="000000"/>
          <w:szCs w:val="32"/>
        </w:rPr>
        <w:t>的协同联动效应，确保完成各项工作任务。</w:t>
      </w:r>
    </w:p>
    <w:p>
      <w:pPr>
        <w:spacing w:line="560" w:lineRule="exact"/>
        <w:ind w:firstLine="640" w:firstLineChars="200"/>
        <w:rPr>
          <w:bCs/>
          <w:color w:val="000000"/>
          <w:szCs w:val="32"/>
        </w:rPr>
      </w:pPr>
      <w:r>
        <w:rPr>
          <w:rFonts w:hint="eastAsia" w:ascii="楷体_GB2312" w:hAnsi="楷体_GB2312" w:eastAsia="楷体_GB2312" w:cs="楷体_GB2312"/>
          <w:bCs/>
          <w:color w:val="000000"/>
          <w:szCs w:val="32"/>
        </w:rPr>
        <w:t>（二）强化工作落实。</w:t>
      </w:r>
      <w:r>
        <w:rPr>
          <w:rFonts w:hint="eastAsia"/>
          <w:bCs/>
          <w:color w:val="000000"/>
          <w:szCs w:val="32"/>
        </w:rPr>
        <w:t>各</w:t>
      </w:r>
      <w:r>
        <w:rPr>
          <w:rFonts w:hint="eastAsia"/>
          <w:bCs/>
          <w:color w:val="000000"/>
          <w:szCs w:val="32"/>
          <w:lang w:eastAsia="zh-CN"/>
        </w:rPr>
        <w:t>股</w:t>
      </w:r>
      <w:r>
        <w:rPr>
          <w:rFonts w:hint="eastAsia"/>
          <w:bCs/>
          <w:color w:val="000000"/>
          <w:szCs w:val="32"/>
        </w:rPr>
        <w:t>室要建立清单管理机制，认真对照本方案布置的重点工作任务，制定工作计划，明确责任分工，细化工作举措，切实抓紧、抓好、抓出成效，</w:t>
      </w:r>
      <w:r>
        <w:rPr>
          <w:rFonts w:hint="eastAsia"/>
          <w:bCs/>
          <w:color w:val="000000"/>
          <w:szCs w:val="32"/>
          <w:lang w:eastAsia="zh-CN"/>
        </w:rPr>
        <w:t>及时</w:t>
      </w:r>
      <w:r>
        <w:rPr>
          <w:rFonts w:hint="eastAsia"/>
          <w:bCs/>
          <w:color w:val="000000"/>
          <w:szCs w:val="32"/>
        </w:rPr>
        <w:t>向</w:t>
      </w:r>
      <w:r>
        <w:rPr>
          <w:rFonts w:hint="eastAsia"/>
          <w:bCs/>
          <w:color w:val="000000"/>
          <w:szCs w:val="32"/>
          <w:lang w:eastAsia="zh-CN"/>
        </w:rPr>
        <w:t>工作专班</w:t>
      </w:r>
      <w:r>
        <w:rPr>
          <w:rFonts w:hint="eastAsia"/>
          <w:bCs/>
          <w:color w:val="000000"/>
          <w:szCs w:val="32"/>
        </w:rPr>
        <w:t>报送工作进展情况。</w:t>
      </w:r>
    </w:p>
    <w:p>
      <w:pPr>
        <w:spacing w:line="560" w:lineRule="exact"/>
        <w:ind w:firstLine="640" w:firstLineChars="200"/>
        <w:rPr>
          <w:bCs/>
          <w:color w:val="000000"/>
          <w:szCs w:val="32"/>
        </w:rPr>
      </w:pPr>
      <w:r>
        <w:rPr>
          <w:rFonts w:hint="eastAsia" w:ascii="楷体_GB2312" w:hAnsi="楷体_GB2312" w:eastAsia="楷体_GB2312" w:cs="楷体_GB2312"/>
          <w:bCs/>
          <w:color w:val="000000"/>
          <w:szCs w:val="32"/>
        </w:rPr>
        <w:t>（三）做好政策宣传。</w:t>
      </w:r>
      <w:r>
        <w:rPr>
          <w:rFonts w:hint="eastAsia"/>
          <w:bCs/>
          <w:color w:val="000000"/>
          <w:szCs w:val="32"/>
        </w:rPr>
        <w:t>充分利用各类媒体，大力宣传自然资源领域推动市场主体倍增工程的政策措施和重要意义，扩大知晓度、支持度和参与度。及时总结市场主体培育发展中可推广复制的典型经验，并予以推广，营造良好的舆论氛围。</w:t>
      </w:r>
    </w:p>
    <w:p>
      <w:pPr>
        <w:spacing w:line="560" w:lineRule="exact"/>
        <w:ind w:firstLine="640" w:firstLineChars="200"/>
        <w:rPr>
          <w:bCs/>
          <w:color w:val="000000"/>
          <w:szCs w:val="32"/>
        </w:rPr>
      </w:pPr>
      <w:r>
        <w:rPr>
          <w:rFonts w:hint="eastAsia" w:ascii="楷体_GB2312" w:hAnsi="楷体_GB2312" w:eastAsia="楷体_GB2312" w:cs="楷体_GB2312"/>
          <w:bCs/>
          <w:color w:val="000000"/>
          <w:szCs w:val="32"/>
        </w:rPr>
        <w:t>（四）严格督导检查。</w:t>
      </w:r>
      <w:r>
        <w:rPr>
          <w:rFonts w:hint="eastAsia"/>
          <w:bCs/>
          <w:color w:val="000000"/>
          <w:szCs w:val="32"/>
        </w:rPr>
        <w:t>要切实强化督查管理，及时督办各</w:t>
      </w:r>
      <w:r>
        <w:rPr>
          <w:rFonts w:hint="eastAsia"/>
          <w:bCs/>
          <w:color w:val="000000"/>
          <w:szCs w:val="32"/>
          <w:lang w:eastAsia="zh-CN"/>
        </w:rPr>
        <w:t>股室</w:t>
      </w:r>
      <w:r>
        <w:rPr>
          <w:rFonts w:hint="eastAsia"/>
          <w:bCs/>
          <w:color w:val="000000"/>
          <w:szCs w:val="32"/>
        </w:rPr>
        <w:t>推进落实情况、资料报送情况。对落实不力、报送不及时、敷衍了事的单位，</w:t>
      </w:r>
      <w:r>
        <w:rPr>
          <w:rFonts w:hint="eastAsia"/>
          <w:bCs/>
          <w:color w:val="000000"/>
          <w:szCs w:val="32"/>
          <w:lang w:eastAsia="zh-CN"/>
        </w:rPr>
        <w:t>工作专班</w:t>
      </w:r>
      <w:r>
        <w:rPr>
          <w:rFonts w:hint="eastAsia"/>
          <w:bCs/>
          <w:color w:val="000000"/>
          <w:szCs w:val="32"/>
        </w:rPr>
        <w:t>要及时予以通报提醒，情节严重的，报局党组予以严肃追责问责。</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A1FE2"/>
    <w:multiLevelType w:val="singleLevel"/>
    <w:tmpl w:val="E30A1FE2"/>
    <w:lvl w:ilvl="0" w:tentative="0">
      <w:start w:val="1"/>
      <w:numFmt w:val="chineseCounting"/>
      <w:suff w:val="nothing"/>
      <w:lvlText w:val="%1、"/>
      <w:lvlJc w:val="left"/>
      <w:rPr>
        <w:rFonts w:hint="eastAsia" w:cs="Times New Roman"/>
      </w:rPr>
    </w:lvl>
  </w:abstractNum>
  <w:abstractNum w:abstractNumId="1">
    <w:nsid w:val="4EC24A35"/>
    <w:multiLevelType w:val="singleLevel"/>
    <w:tmpl w:val="4EC24A35"/>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GJmZTAzNjVkNzhmYmVkYWFlZTNhMWY5ZmJmZjQifQ=="/>
    <w:docVar w:name="KSO_WPS_MARK_KEY" w:val="98107abd-031a-4593-9bc1-af01909affc6"/>
  </w:docVars>
  <w:rsids>
    <w:rsidRoot w:val="704F68C1"/>
    <w:rsid w:val="0F615805"/>
    <w:rsid w:val="2923433C"/>
    <w:rsid w:val="2BCC750B"/>
    <w:rsid w:val="3E9F1D69"/>
    <w:rsid w:val="3FE26542"/>
    <w:rsid w:val="704F68C1"/>
    <w:rsid w:val="7AE31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
    <w:name w:val="引文目录1"/>
    <w:basedOn w:val="1"/>
    <w:next w:val="1"/>
    <w:qFormat/>
    <w:uiPriority w:val="0"/>
    <w:pPr>
      <w:ind w:left="420" w:leftChars="200"/>
    </w:pPr>
    <w:rPr>
      <w:rFonts w:ascii="Calibri" w:hAnsi="Calibri" w:eastAsia="宋体"/>
      <w:sz w:val="21"/>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4886</Words>
  <Characters>4931</Characters>
  <Lines>0</Lines>
  <Paragraphs>0</Paragraphs>
  <TotalTime>201</TotalTime>
  <ScaleCrop>false</ScaleCrop>
  <LinksUpToDate>false</LinksUpToDate>
  <CharactersWithSpaces>4965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2022-05-20T08:29:00Z</dcterms:created>
  <dc:creator>jy</dc:creator>
  <cp:lastModifiedBy>哥丶看破繁华</cp:lastModifiedBy>
  <dcterms:modified xsi:type="dcterms:W3CDTF">2023-03-31T09:20:43Z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9BC025E39C554F2EB78F663D167038A5</vt:lpwstr>
  </property>
</Properties>
</file>