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2520" w:firstLineChars="900"/>
        <w:textAlignment w:val="auto"/>
        <w:rPr>
          <w:rFonts w:hint="eastAsia" w:ascii="方正楷体简体" w:hAnsi="方正楷体简体" w:eastAsia="方正楷体简体" w:cs="方正楷体简体"/>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520" w:firstLineChars="900"/>
        <w:textAlignment w:val="auto"/>
        <w:rPr>
          <w:rFonts w:hint="eastAsia" w:ascii="方正楷体简体" w:hAnsi="方正楷体简体" w:eastAsia="方正楷体简体" w:cs="方正楷体简体"/>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520" w:firstLineChars="900"/>
        <w:textAlignment w:val="auto"/>
        <w:rPr>
          <w:rFonts w:hint="eastAsia" w:ascii="方正楷体简体" w:hAnsi="方正楷体简体" w:eastAsia="方正楷体简体" w:cs="方正楷体简体"/>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520" w:firstLineChars="900"/>
        <w:textAlignment w:val="auto"/>
        <w:rPr>
          <w:rFonts w:hint="eastAsia" w:ascii="方正楷体简体" w:hAnsi="方正楷体简体" w:eastAsia="方正楷体简体" w:cs="方正楷体简体"/>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520" w:firstLineChars="900"/>
        <w:textAlignment w:val="auto"/>
        <w:rPr>
          <w:rFonts w:hint="eastAsia" w:ascii="方正楷体简体" w:hAnsi="方正楷体简体" w:eastAsia="方正楷体简体" w:cs="方正楷体简体"/>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520" w:firstLineChars="900"/>
        <w:textAlignment w:val="auto"/>
        <w:rPr>
          <w:rFonts w:hint="eastAsia" w:ascii="方正楷体简体" w:hAnsi="方正楷体简体" w:eastAsia="方正楷体简体" w:cs="方正楷体简体"/>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简体" w:hAnsi="方正楷体简体" w:eastAsia="方正楷体简体" w:cs="方正楷体简体"/>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520" w:firstLineChars="900"/>
        <w:textAlignment w:val="auto"/>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lang w:eastAsia="zh-CN"/>
        </w:rPr>
        <w:t>长上自然资发</w:t>
      </w:r>
      <w:r>
        <w:rPr>
          <w:rFonts w:hint="eastAsia" w:ascii="方正楷体简体" w:hAnsi="方正楷体简体" w:eastAsia="方正楷体简体" w:cs="方正楷体简体"/>
          <w:sz w:val="28"/>
          <w:szCs w:val="28"/>
        </w:rPr>
        <w:t>〔2022〕</w:t>
      </w:r>
      <w:r>
        <w:rPr>
          <w:rFonts w:hint="eastAsia" w:ascii="方正楷体简体" w:hAnsi="方正楷体简体" w:eastAsia="方正楷体简体" w:cs="方正楷体简体"/>
          <w:sz w:val="28"/>
          <w:szCs w:val="28"/>
          <w:lang w:val="en-US" w:eastAsia="zh-CN"/>
        </w:rPr>
        <w:t>7</w:t>
      </w:r>
      <w:r>
        <w:rPr>
          <w:rFonts w:hint="eastAsia" w:ascii="方正楷体简体" w:hAnsi="方正楷体简体" w:eastAsia="方正楷体简体" w:cs="方正楷体简体"/>
          <w:sz w:val="28"/>
          <w:szCs w:val="28"/>
        </w:rPr>
        <w:t>号</w:t>
      </w:r>
    </w:p>
    <w:p>
      <w:pPr>
        <w:keepNext w:val="0"/>
        <w:keepLines w:val="0"/>
        <w:pageBreakBefore w:val="0"/>
        <w:widowControl w:val="0"/>
        <w:kinsoku/>
        <w:wordWrap/>
        <w:overflowPunct/>
        <w:topLinePunct w:val="0"/>
        <w:autoSpaceDE/>
        <w:autoSpaceDN/>
        <w:bidi w:val="0"/>
        <w:adjustRightInd/>
        <w:snapToGrid/>
        <w:spacing w:line="600" w:lineRule="exact"/>
        <w:ind w:firstLine="2520" w:firstLineChars="900"/>
        <w:textAlignment w:val="auto"/>
        <w:rPr>
          <w:rFonts w:hint="eastAsia" w:ascii="方正楷体简体" w:hAnsi="方正楷体简体" w:eastAsia="方正楷体简体" w:cs="方正楷体简体"/>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长治市上党区自然资源局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关于转发长治市规划和自然资源局《关于开展严厉打击全市建设工程领域违法用地专项行动的通知》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各自然资源所、相关股室：</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严厉打击建设工程领域违法用地行为，切实维护我区土地管理秩序，坚决贯彻落实山西省自然资源厅、长治市规划和自然资源局《关于开展严厉打击建设工程领域违法用地专项行动的通知》（晋自然资函〔2022〕68号、长自然资发〔2022〕13号），决定在全区范围内开展打击建设工程领域违法用地专项行动。现将有关工作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全面摸排（2022年2月28日前）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各股所结合日常监管事项，全面排查，不留死角，建立台账，对账销号，将《非法违法建设行为、重大事故隐患统计表》（附件2）于2月28日前交执法监察大队。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集中整治（2022年3月底前）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根据摸排情况，建立问题清单，按辖区划分，各股所根据工作职能，信息共享、分析研判、分工协作，确保3月底前将发现问题查处整改到位。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长治市上党区自然资源局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2022年2月10日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长自然资发〔2022〕13号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长治市规划和自然资源局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关于开展严厉打击全市建设工程领域违法用地专项行动的通知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各县区自然资源局：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山西省自然资源厅关于开展严厉打击全省建设工程领域违法用地专项行动的通知》（晋自然资函〔2022）68号)和《长治市建设工程“百日攻坚＂专项行动领导组关于印发＜全市建设工程安全风险隐患大排查大整治“百日攻坚＂集中行动实施方案＞的通知》（长建攻坚字〔2022）1号)（以下简称“百日攻坚)，按照任务分解，决定在全市范围内开展打击建设工程领域违法用地专项行动。现就有关工作通知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经典黑体简" w:hAnsi="经典黑体简" w:eastAsia="经典黑体简" w:cs="经典黑体简"/>
          <w:sz w:val="28"/>
          <w:szCs w:val="28"/>
        </w:rPr>
        <w:t>一、工作重点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(一)严厉打击未取得建设工程规划许可证或者未按照建设工程规划许可证的规定进行建设的。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(二)严厉打击违法占用耕地以及永久基本农田进行非农建设的。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(三)严厉打击侵占生态保护红线的违法违规建设行为。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经典黑体简" w:hAnsi="经典黑体简" w:eastAsia="经典黑体简" w:cs="经典黑体简"/>
          <w:sz w:val="28"/>
          <w:szCs w:val="28"/>
        </w:rPr>
        <w:t>二、工作步骤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动员部署，自查自纠(2022年1月26日前)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自然资源部门要成立专项办公室，抽调专人开展“百日攻坚”工作，研究制定本地实施方案。要召开专门会议，全面动员、统一思想、提高认识、明确任务、突出重点、确定时限、落实责任，安排部署好此次专项行动工作，各县区自然资源局确定1名联系人于1月26日前报市规划和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全面检查，集中整治(2022年1月一3月底)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县区为单位，集中时间，集中力量，坚持问题导向，主动发现问题，组织各乡镇政府开展摸底排查整治工作。结合日常监管情况，全面排查，不留死角，做到底数清、情况明、不遗漏全域排查到位。对排查摸底的情况分类整理，全面梳理，形成问题清单，登记造册，建立台帐，对账消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(三)综合督导，强化落实(2022年3月底前)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自然资源部门要对本地区开展“百日攻坚”情况进行督导，对发现的影响大、案件复杂的典型案件，要跟踪检查，依法依规处置到位。3月28日前全面梳理总结，将专题报告和非法违法建设行为重大事故隐患统计表（附表2）一并报市规划和自然资源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经典黑体简" w:hAnsi="经典黑体简" w:eastAsia="经典黑体简" w:cs="经典黑体简"/>
          <w:sz w:val="28"/>
          <w:szCs w:val="28"/>
        </w:rPr>
        <w:t>三、工作要求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高度重视，强化责任。市县两级自然资源部门务必高度重视，充分认识严厉打击全市建设工程领域违法用地专项行动的重要性和紧迫性，深刻汲取我省近期接连发生的因违法占地行为引起的惨痛教训，按照全市工作部暑，加强统一领导，逐级压实责任，以高度的政治责任感把专项行动抓紧抓实，确保圆满完成各项整治整改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主动作为，形成合力。市县两级自然资源部门要与住建、公安、纪检监察等部门建立联合工作机制，通过联席会议等制度，加强沟通，协调配合，信息共享，分析研判，充分发挥本部门职能作用，共同打击整治自然资源领域违法犯罪行为。同时，严格按照既处理事又处理人的原则，采取有力有效措施开展重点整治，及时向公安部门移送违法线索，对涉嫌犯罪的，依法追究违法犯罪当事人的刑事责任。对排查不到位、整改不到位、压案不查、知错不改、不负责任的，坚决移送严肃追责问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从严处理，务求实效。市县两级自然资源部门要严格按照法律规定确定责任，不得随意降低标准，切实起到警示教育作用，从根本上遏制士地违法行为的发生。对违法行为查处中发现顶风作案、屡禁不止、形成重大违法事实或恶劣影响、严重违反产业政策供地政策的，要从严从重处理；对未严格落实本次行动要求、没有完成基本任务、违法行为查处不力、本地区土地管理秩序混乱的，县级要及时督促，监督整改，必要时与纪检监察部门联合，启动警示约谈和责任追究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次专项行动事关落实工程建设领域打击土地违法行为总体要求，事关全市土地管理秩序稳定和春节、“两会＂期间社会稳定，市县两级自然资源部门要主动谋划、密切配合、严厉打击、注重实效，全面履职，并以此为契机，进一步建立和完善打击土地违法行为的长效责任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联系人及电话：张红兵  6068825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2880" w:firstLine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冯  飞  6063625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附件：1.专项行动联络人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2.非法违法建设行为、重大事故隐患统计表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长治市规划和自然资源局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2022年1月25日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方正楷体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经典黑体简">
    <w:panose1 w:val="02010609000101010101"/>
    <w:charset w:val="86"/>
    <w:family w:val="auto"/>
    <w:pitch w:val="default"/>
    <w:sig w:usb0="A1007AEF" w:usb1="F9DF7CFB" w:usb2="0000001E" w:usb3="00000000" w:csb0="2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212BC"/>
    <w:multiLevelType w:val="singleLevel"/>
    <w:tmpl w:val="F58212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639B2"/>
    <w:rsid w:val="1C4F2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2022-02-10T01:10:00Z</dcterms:created>
  <dc:creator>Administrator</dc:creator>
  <cp:lastModifiedBy>静看朝阳</cp:lastModifiedBy>
  <cp:lastPrinted>2022-02-11T03:10:01Z</cp:lastPrinted>
  <dcterms:modified xsi:type="dcterms:W3CDTF">2022-02-11T03:14:52Z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C31065F5F20444E09FBA32B218573791</vt:lpwstr>
  </property>
</Properties>
</file>