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数字化记录信息归档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为加强我局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管理，保障依法行政，根据有关法律、法规、规章的规定，结合实际，制定本制度。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本制度所称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是指在行政检查、行政处罚、行政强制、行政许可、行政复议等行政执法过程中形成的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数字化信息记录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由案件主办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存储并编号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的收集应按照有关规定，依法、按序、完整地进行。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的内容应符合客观性、关联性、合法性的原则。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正在办理中的行政执法案件，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由案件主办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指定专人保管；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已办结案件的数字化记录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由办公室人员负责保管。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实行定期归档制度，每季度结束后次月15日前主办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应将上一季度已办结的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存储</w:t>
      </w:r>
      <w:r>
        <w:rPr>
          <w:rFonts w:hint="eastAsia" w:ascii="仿宋_GB2312" w:hAnsi="仿宋_GB2312" w:eastAsia="仿宋_GB2312" w:cs="仿宋_GB2312"/>
          <w:sz w:val="32"/>
          <w:szCs w:val="32"/>
        </w:rPr>
        <w:t>。逾期未交造成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遗失等一切后果由主办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（一）本局工作人员因工作需要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查阅数字化记录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办公室查阅。</w:t>
      </w:r>
      <w:r>
        <w:rPr>
          <w:rFonts w:hint="eastAsia" w:ascii="仿宋_GB2312" w:hAnsi="仿宋_GB2312" w:eastAsia="仿宋_GB2312" w:cs="仿宋_GB2312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复制记录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的，报案件分管领导批准。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（二）公安、检察院、法院、纪检监察、审计机关等有关单位因工作需要申请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查阅数字化记录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的，凭单位介绍信及申请人有效证件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（三）申请人或其代理律师申请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本单位（人）的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，凭单位介绍信及申请人有效身份证件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。代理律师应提供法院立案通知书和当事人委托书、律师执业证。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（四）申请人申请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本单位（人）进入行政诉讼复议程序后的行政执法案件的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的，按《行政诉讼法》和《行政复议法》的规定执行。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、复制已作出行政执法决定而未归档的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，应视情况分别处理。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公安、检察院、法院、纪检监察部门等有关单位申请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、复制的，由该案件主办人参照本条第二项办理。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申请人或其代理律师申请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本单位（人）的行政执法结论性文件的，由该案件主办人参照本规定第三项办理。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）行政执法决定作出前，承办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应妥善保管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。除案件承办人、承办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负责人、分管局领导、局主要负责人可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外，其他人员一般不得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查阅数字化记录信息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者应当严格遵守保密制度，保守国家秘密和行政执法案件当事人的商业秘密。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违反本制度案卷管理规定造成的后果，按照行政执法责任制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规定对有关人员进行责任追究。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第九条 本制度最终解释权归长治市上党区工业和信息局。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第十条 本制度自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2019年7月15日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0AF4"/>
    <w:rsid w:val="164A7B92"/>
    <w:rsid w:val="32FC1B2E"/>
    <w:rsid w:val="34080AF4"/>
    <w:rsid w:val="3B4717EC"/>
    <w:rsid w:val="5A121F29"/>
    <w:rsid w:val="76A30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2019-08-28T01:11:00Z</dcterms:created>
  <dc:creator>暮雨，亦成诗</dc:creator>
  <cp:lastModifiedBy>暮雨，亦成诗</cp:lastModifiedBy>
  <dcterms:modified xsi:type="dcterms:W3CDTF">2020-04-17T09:45:15Z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