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长治市上党区工业和信息化局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全过程记录信息调阅监督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本局工作人员因工作需要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办公室申请查阅，由局办公室协调相关股室提供记录。</w:t>
      </w:r>
      <w:r>
        <w:rPr>
          <w:rFonts w:hint="eastAsia"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复制记录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的，报案件分管领导批准。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公安、检察院、法院、纪检监察、审计机关等有关单位因工作需要申请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的，凭单位介绍信及申请人有效证件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申请人或其代理律师申请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本单位（人）的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记录的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，凭单位介绍信及申请人有效身份证件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</w:rPr>
        <w:t>。代理律师应提供法院立案通知书和当事人委托书、律师执业证。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本单位（人）进入行政诉讼复议程序后的行政执法案件的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的，按《行政诉讼法》和《行政复议法》的规定执行。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</w:rPr>
        <w:t>、复制已作出行政执法决定而未归档的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，应视情况分别处理。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公安、检察院、法院、纪检监察部门等有关单位申请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</w:rPr>
        <w:t>、复制的，由该案件主办人参照本条第二项办理。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申请人或其代理律师申请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本单位（人）的行政执法结论性文件的，由该案件主办人参照本规定第三项办理。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行政执法决定作出前，承办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sz w:val="32"/>
          <w:szCs w:val="32"/>
        </w:rPr>
        <w:t>应妥善保管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记录信息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。除案件承办人、承办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负责人、分管局领导、局主要负责人可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</w:rPr>
        <w:t>外，其他人员一般不得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查阅记录信息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者应当严格遵守保密制度，保守国家秘密和行政执法案件当事人的商业秘密。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第八条 本制度解释权归长治市上党区工业和信息化局。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本制度自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2019年7月15日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F3035"/>
    <w:rsid w:val="086F57CA"/>
    <w:rsid w:val="182B529F"/>
    <w:rsid w:val="1B3D0D14"/>
    <w:rsid w:val="1D386E1A"/>
    <w:rsid w:val="39514692"/>
    <w:rsid w:val="46841D2F"/>
    <w:rsid w:val="477F6B45"/>
    <w:rsid w:val="57A5035D"/>
    <w:rsid w:val="7D2F3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2019-08-28T01:24:00Z</dcterms:created>
  <dc:creator>暮雨，亦成诗</dc:creator>
  <cp:lastModifiedBy>暮雨，亦成诗</cp:lastModifiedBy>
  <cp:lastPrinted>2020-04-17T09:29:00Z</cp:lastPrinted>
  <dcterms:modified xsi:type="dcterms:W3CDTF">2020-04-17T09:39:29Z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