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3D3C5">
      <w:pPr>
        <w:pStyle w:val="9"/>
        <w:widowControl w:val="0"/>
        <w:wordWrap/>
        <w:adjustRightInd/>
        <w:snapToGrid/>
        <w:spacing w:line="600" w:lineRule="exact"/>
        <w:textAlignment w:val="auto"/>
        <w:rPr>
          <w:rFonts w:hint="eastAsia" w:ascii="仿宋_GB2312" w:hAnsi="仿宋_GB2312" w:eastAsia="仿宋_GB2312" w:cs="仿宋_GB2312"/>
          <w:color w:val="000000"/>
          <w:sz w:val="44"/>
          <w:szCs w:val="44"/>
          <w:u w:val="none"/>
        </w:rPr>
      </w:pPr>
    </w:p>
    <w:p w14:paraId="72C9CCAC">
      <w:pPr>
        <w:widowControl w:val="0"/>
        <w:wordWrap/>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u w:val="none"/>
        </w:rPr>
      </w:pPr>
      <w:bookmarkStart w:id="0" w:name="_Toc11212"/>
      <w:bookmarkStart w:id="1" w:name="_Toc23424"/>
      <w:bookmarkStart w:id="2" w:name="_Toc13730"/>
      <w:r>
        <w:rPr>
          <w:rFonts w:hint="eastAsia" w:ascii="方正小标宋简体" w:hAnsi="方正小标宋简体" w:eastAsia="方正小标宋简体" w:cs="方正小标宋简体"/>
          <w:color w:val="000000"/>
          <w:sz w:val="44"/>
          <w:szCs w:val="44"/>
          <w:u w:val="none"/>
          <w:lang w:eastAsia="zh-CN"/>
        </w:rPr>
        <w:t>长治市上党区</w:t>
      </w:r>
      <w:r>
        <w:rPr>
          <w:rFonts w:hint="eastAsia" w:ascii="方正小标宋简体" w:hAnsi="方正小标宋简体" w:eastAsia="方正小标宋简体" w:cs="方正小标宋简体"/>
          <w:color w:val="000000"/>
          <w:sz w:val="44"/>
          <w:szCs w:val="44"/>
          <w:u w:val="none"/>
        </w:rPr>
        <w:t>人民政府</w:t>
      </w:r>
    </w:p>
    <w:p w14:paraId="7C5756C8">
      <w:pPr>
        <w:widowControl w:val="0"/>
        <w:wordWrap/>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u w:val="none"/>
          <w:lang w:val="en-US"/>
        </w:rPr>
      </w:pPr>
      <w:r>
        <w:rPr>
          <w:rFonts w:hint="eastAsia" w:ascii="方正小标宋简体" w:hAnsi="方正小标宋简体" w:eastAsia="方正小标宋简体" w:cs="方正小标宋简体"/>
          <w:color w:val="000000"/>
          <w:sz w:val="44"/>
          <w:szCs w:val="44"/>
          <w:u w:val="none"/>
        </w:rPr>
        <w:t>关于做好</w:t>
      </w:r>
      <w:r>
        <w:rPr>
          <w:rFonts w:hint="eastAsia" w:ascii="方正小标宋简体" w:hAnsi="方正小标宋简体" w:eastAsia="方正小标宋简体" w:cs="方正小标宋简体"/>
          <w:color w:val="000000"/>
          <w:sz w:val="44"/>
          <w:szCs w:val="44"/>
          <w:u w:val="none"/>
          <w:lang w:val="en-US"/>
        </w:rPr>
        <w:t>202</w:t>
      </w:r>
      <w:r>
        <w:rPr>
          <w:rFonts w:hint="eastAsia" w:ascii="方正小标宋简体" w:hAnsi="方正小标宋简体" w:eastAsia="方正小标宋简体" w:cs="方正小标宋简体"/>
          <w:color w:val="000000"/>
          <w:sz w:val="44"/>
          <w:szCs w:val="44"/>
          <w:u w:val="none"/>
          <w:lang w:val="en-US" w:eastAsia="zh-CN"/>
        </w:rPr>
        <w:t>5</w:t>
      </w:r>
      <w:r>
        <w:rPr>
          <w:rFonts w:hint="eastAsia" w:ascii="方正小标宋简体" w:hAnsi="方正小标宋简体" w:eastAsia="方正小标宋简体" w:cs="方正小标宋简体"/>
          <w:color w:val="000000"/>
          <w:sz w:val="44"/>
          <w:szCs w:val="44"/>
          <w:u w:val="none"/>
          <w:lang w:val="en-US"/>
        </w:rPr>
        <w:t>年安全生产工作的通知</w:t>
      </w:r>
    </w:p>
    <w:p w14:paraId="3AB98DB6">
      <w:pPr>
        <w:pStyle w:val="16"/>
        <w:widowControl w:val="0"/>
        <w:tabs>
          <w:tab w:val="right" w:leader="dot" w:pos="8844"/>
        </w:tabs>
        <w:wordWrap/>
        <w:adjustRightInd/>
        <w:snapToGrid/>
        <w:spacing w:line="600" w:lineRule="exact"/>
        <w:textAlignment w:val="auto"/>
        <w:rPr>
          <w:rFonts w:hint="eastAsia"/>
          <w:color w:val="000000"/>
          <w:u w:val="none"/>
          <w:lang w:val="en-US"/>
        </w:rPr>
      </w:pPr>
      <w:r>
        <w:rPr>
          <w:rFonts w:hint="eastAsia"/>
          <w:color w:val="000000"/>
          <w:u w:val="none"/>
          <w:lang w:val="en-US"/>
        </w:rPr>
        <w:fldChar w:fldCharType="begin"/>
      </w:r>
      <w:r>
        <w:rPr>
          <w:rFonts w:hint="eastAsia"/>
          <w:color w:val="000000"/>
          <w:u w:val="none"/>
          <w:lang w:val="en-US"/>
        </w:rPr>
        <w:instrText xml:space="preserve">TOC \o "1-3" \h \u </w:instrText>
      </w:r>
      <w:r>
        <w:rPr>
          <w:rFonts w:hint="eastAsia"/>
          <w:color w:val="000000"/>
          <w:u w:val="none"/>
          <w:lang w:val="en-US"/>
        </w:rPr>
        <w:fldChar w:fldCharType="separate"/>
      </w:r>
      <w:r>
        <w:rPr>
          <w:rFonts w:hint="eastAsia"/>
          <w:color w:val="000000"/>
          <w:u w:val="none"/>
          <w:lang w:val="en-US"/>
        </w:rPr>
        <w:fldChar w:fldCharType="end"/>
      </w:r>
    </w:p>
    <w:p w14:paraId="00245683">
      <w:pPr>
        <w:widowControl w:val="0"/>
        <w:wordWrap/>
        <w:adjustRightInd/>
        <w:snapToGrid/>
        <w:spacing w:beforeAutospacing="0" w:afterAutospacing="0" w:line="600" w:lineRule="exact"/>
        <w:ind w:right="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上党经开区管委会，</w:t>
      </w:r>
      <w:r>
        <w:rPr>
          <w:rFonts w:hint="eastAsia" w:ascii="仿宋_GB2312" w:hAnsi="仿宋_GB2312" w:eastAsia="仿宋_GB2312" w:cs="仿宋_GB2312"/>
          <w:i w:val="0"/>
          <w:caps w:val="0"/>
          <w:color w:val="000000"/>
          <w:spacing w:val="0"/>
          <w:sz w:val="32"/>
          <w:szCs w:val="32"/>
        </w:rPr>
        <w:t>各</w:t>
      </w:r>
      <w:r>
        <w:rPr>
          <w:rFonts w:hint="eastAsia" w:ascii="仿宋_GB2312" w:hAnsi="仿宋_GB2312" w:eastAsia="仿宋_GB2312" w:cs="仿宋_GB2312"/>
          <w:i w:val="0"/>
          <w:caps w:val="0"/>
          <w:color w:val="000000"/>
          <w:spacing w:val="0"/>
          <w:sz w:val="32"/>
          <w:szCs w:val="32"/>
          <w:lang w:eastAsia="zh-CN"/>
        </w:rPr>
        <w:t>乡镇、韩店街道，振兴统筹试验区，区直</w:t>
      </w:r>
      <w:r>
        <w:rPr>
          <w:rFonts w:hint="eastAsia" w:ascii="仿宋_GB2312" w:hAnsi="仿宋_GB2312" w:eastAsia="仿宋_GB2312" w:cs="仿宋_GB2312"/>
          <w:i w:val="0"/>
          <w:caps w:val="0"/>
          <w:color w:val="000000"/>
          <w:spacing w:val="0"/>
          <w:sz w:val="32"/>
          <w:szCs w:val="32"/>
        </w:rPr>
        <w:t>各有关单位：</w:t>
      </w:r>
    </w:p>
    <w:p w14:paraId="074089B3">
      <w:pPr>
        <w:widowControl w:val="0"/>
        <w:wordWrap/>
        <w:adjustRightInd/>
        <w:snapToGrid/>
        <w:spacing w:beforeAutospacing="0" w:afterAutospacing="0" w:line="600" w:lineRule="exact"/>
        <w:ind w:right="0" w:firstLine="640" w:firstLineChars="200"/>
        <w:textAlignment w:val="auto"/>
        <w:outlineLvl w:val="9"/>
        <w:rPr>
          <w:rFonts w:hint="eastAsia" w:ascii="仿宋_GB2312" w:hAnsi="楷体_GB2312" w:eastAsia="仿宋_GB2312" w:cs="楷体_GB2312"/>
          <w:color w:val="000000"/>
          <w:sz w:val="32"/>
          <w:szCs w:val="32"/>
          <w:u w:val="none"/>
          <w:lang w:val="en-US"/>
        </w:rPr>
      </w:pPr>
      <w:r>
        <w:rPr>
          <w:rFonts w:hint="eastAsia" w:ascii="仿宋_GB2312" w:hAnsi="楷体_GB2312" w:eastAsia="仿宋_GB2312" w:cs="楷体_GB2312"/>
          <w:color w:val="000000"/>
          <w:sz w:val="32"/>
          <w:szCs w:val="32"/>
          <w:u w:val="none"/>
          <w:lang w:val="en-US"/>
        </w:rPr>
        <w:t>202</w:t>
      </w:r>
      <w:r>
        <w:rPr>
          <w:rFonts w:hint="eastAsia" w:ascii="仿宋_GB2312" w:hAnsi="楷体_GB2312" w:eastAsia="仿宋_GB2312" w:cs="楷体_GB2312"/>
          <w:color w:val="000000"/>
          <w:sz w:val="32"/>
          <w:szCs w:val="32"/>
          <w:u w:val="none"/>
          <w:lang w:val="en-US" w:eastAsia="zh-CN"/>
        </w:rPr>
        <w:t>5</w:t>
      </w:r>
      <w:r>
        <w:rPr>
          <w:rFonts w:hint="eastAsia" w:ascii="仿宋_GB2312" w:hAnsi="楷体_GB2312" w:eastAsia="仿宋_GB2312" w:cs="楷体_GB2312"/>
          <w:color w:val="000000"/>
          <w:sz w:val="32"/>
          <w:szCs w:val="32"/>
          <w:u w:val="none"/>
          <w:lang w:val="en-US"/>
        </w:rPr>
        <w:t>年，全</w:t>
      </w:r>
      <w:r>
        <w:rPr>
          <w:rFonts w:hint="eastAsia" w:ascii="仿宋_GB2312" w:hAnsi="楷体_GB2312" w:eastAsia="仿宋_GB2312" w:cs="楷体_GB2312"/>
          <w:color w:val="000000"/>
          <w:sz w:val="32"/>
          <w:szCs w:val="32"/>
          <w:u w:val="none"/>
          <w:lang w:val="en-US" w:eastAsia="zh-CN"/>
        </w:rPr>
        <w:t>区</w:t>
      </w:r>
      <w:r>
        <w:rPr>
          <w:rFonts w:hint="eastAsia" w:ascii="仿宋_GB2312" w:hAnsi="楷体_GB2312" w:eastAsia="仿宋_GB2312" w:cs="楷体_GB2312"/>
          <w:color w:val="000000"/>
          <w:sz w:val="32"/>
          <w:szCs w:val="32"/>
          <w:u w:val="none"/>
          <w:lang w:val="en-US"/>
        </w:rPr>
        <w:t>安全生产工作要深入贯彻习近平</w:t>
      </w:r>
      <w:r>
        <w:rPr>
          <w:rFonts w:hint="eastAsia" w:ascii="仿宋_GB2312" w:hAnsi="楷体_GB2312" w:eastAsia="仿宋_GB2312" w:cs="楷体_GB2312"/>
          <w:color w:val="000000"/>
          <w:sz w:val="32"/>
          <w:szCs w:val="32"/>
          <w:u w:val="none"/>
          <w:lang w:val="en-US" w:eastAsia="zh-CN"/>
        </w:rPr>
        <w:t>总书记关于安全生产和防灾减灾救灾重要指示批示精神</w:t>
      </w:r>
      <w:r>
        <w:rPr>
          <w:rFonts w:hint="eastAsia" w:ascii="仿宋_GB2312" w:hAnsi="楷体_GB2312" w:eastAsia="仿宋_GB2312" w:cs="楷体_GB2312"/>
          <w:color w:val="000000"/>
          <w:sz w:val="32"/>
          <w:szCs w:val="32"/>
          <w:u w:val="none"/>
          <w:lang w:val="en-US"/>
        </w:rPr>
        <w:t>，全面贯彻党的二十大</w:t>
      </w:r>
      <w:r>
        <w:rPr>
          <w:rFonts w:hint="eastAsia" w:ascii="仿宋_GB2312" w:hAnsi="楷体_GB2312" w:eastAsia="仿宋_GB2312" w:cs="楷体_GB2312"/>
          <w:color w:val="000000"/>
          <w:sz w:val="32"/>
          <w:szCs w:val="32"/>
          <w:u w:val="none"/>
          <w:lang w:val="en-US" w:eastAsia="zh-CN"/>
        </w:rPr>
        <w:t>和二十届三中全会</w:t>
      </w:r>
      <w:r>
        <w:rPr>
          <w:rFonts w:hint="eastAsia" w:ascii="仿宋_GB2312" w:hAnsi="楷体_GB2312" w:eastAsia="仿宋_GB2312" w:cs="楷体_GB2312"/>
          <w:color w:val="000000"/>
          <w:sz w:val="32"/>
          <w:szCs w:val="32"/>
          <w:u w:val="none"/>
          <w:lang w:val="en-US"/>
        </w:rPr>
        <w:t>精神，</w:t>
      </w:r>
      <w:r>
        <w:rPr>
          <w:rFonts w:hint="eastAsia" w:ascii="仿宋_GB2312" w:hAnsi="楷体_GB2312" w:eastAsia="仿宋_GB2312" w:cs="楷体_GB2312"/>
          <w:sz w:val="32"/>
          <w:szCs w:val="32"/>
        </w:rPr>
        <w:t>坚持人民至上、生命至上，坚持统筹发展和安全，坚持严的基调、紧的状态、深的精神</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细的举措、实的作风，</w:t>
      </w:r>
      <w:r>
        <w:rPr>
          <w:rFonts w:hint="eastAsia" w:ascii="仿宋_GB2312" w:hAnsi="楷体_GB2312" w:eastAsia="仿宋_GB2312" w:cs="楷体_GB2312"/>
          <w:color w:val="000000"/>
          <w:sz w:val="32"/>
          <w:szCs w:val="32"/>
          <w:u w:val="none"/>
          <w:lang w:val="en-US"/>
        </w:rPr>
        <w:t>坚持“五不为过</w:t>
      </w:r>
      <w:r>
        <w:rPr>
          <w:rFonts w:hint="eastAsia" w:ascii="仿宋_GB2312" w:hAnsi="楷体_GB2312" w:eastAsia="仿宋_GB2312" w:cs="楷体_GB2312"/>
          <w:color w:val="000000"/>
          <w:sz w:val="32"/>
          <w:szCs w:val="32"/>
          <w:u w:val="none"/>
          <w:lang w:val="en-US" w:eastAsia="zh-CN"/>
        </w:rPr>
        <w:t>、</w:t>
      </w:r>
      <w:r>
        <w:rPr>
          <w:rFonts w:hint="eastAsia" w:ascii="仿宋_GB2312" w:hAnsi="楷体_GB2312" w:eastAsia="仿宋_GB2312" w:cs="楷体_GB2312"/>
          <w:color w:val="000000"/>
          <w:sz w:val="32"/>
          <w:szCs w:val="32"/>
          <w:u w:val="none"/>
          <w:lang w:val="en-US"/>
        </w:rPr>
        <w:t>五个必须”，</w:t>
      </w:r>
      <w:r>
        <w:rPr>
          <w:rFonts w:hint="eastAsia" w:ascii="仿宋_GB2312" w:hAnsi="楷体_GB2312" w:eastAsia="仿宋_GB2312" w:cs="楷体_GB2312"/>
          <w:sz w:val="32"/>
          <w:szCs w:val="32"/>
        </w:rPr>
        <w:t>推动安全生产治理模式转型</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color w:val="000000"/>
          <w:sz w:val="32"/>
          <w:szCs w:val="32"/>
          <w:u w:val="none"/>
          <w:lang w:val="en-US"/>
        </w:rPr>
        <w:t>深化</w:t>
      </w:r>
      <w:r>
        <w:rPr>
          <w:rFonts w:hint="eastAsia" w:ascii="仿宋_GB2312" w:hAnsi="楷体_GB2312" w:eastAsia="仿宋_GB2312" w:cs="楷体_GB2312"/>
          <w:color w:val="000000"/>
          <w:sz w:val="32"/>
          <w:szCs w:val="32"/>
          <w:u w:val="none"/>
          <w:lang w:val="en-US" w:eastAsia="zh-CN"/>
        </w:rPr>
        <w:t>治本攻坚</w:t>
      </w:r>
      <w:r>
        <w:rPr>
          <w:rFonts w:hint="eastAsia" w:ascii="仿宋_GB2312" w:hAnsi="楷体_GB2312" w:eastAsia="仿宋_GB2312" w:cs="楷体_GB2312"/>
          <w:color w:val="000000"/>
          <w:sz w:val="32"/>
          <w:szCs w:val="32"/>
          <w:u w:val="none"/>
          <w:lang w:val="en-US"/>
        </w:rPr>
        <w:t>三年</w:t>
      </w:r>
      <w:r>
        <w:rPr>
          <w:rFonts w:hint="eastAsia" w:ascii="仿宋_GB2312" w:hAnsi="楷体_GB2312" w:eastAsia="仿宋_GB2312" w:cs="楷体_GB2312"/>
          <w:color w:val="000000"/>
          <w:sz w:val="32"/>
          <w:szCs w:val="32"/>
          <w:u w:val="none"/>
          <w:lang w:val="en-US" w:eastAsia="zh-CN"/>
        </w:rPr>
        <w:t>行动</w:t>
      </w:r>
      <w:r>
        <w:rPr>
          <w:rFonts w:hint="eastAsia" w:ascii="仿宋_GB2312" w:hAnsi="楷体_GB2312" w:eastAsia="仿宋_GB2312" w:cs="楷体_GB2312"/>
          <w:color w:val="000000"/>
          <w:sz w:val="32"/>
          <w:szCs w:val="32"/>
          <w:u w:val="none"/>
          <w:lang w:val="en-US"/>
        </w:rPr>
        <w:t>，强化重点行业领域专项整治</w:t>
      </w:r>
      <w:r>
        <w:rPr>
          <w:rFonts w:hint="eastAsia" w:ascii="仿宋_GB2312" w:hAnsi="楷体_GB2312" w:eastAsia="仿宋_GB2312" w:cs="楷体_GB2312"/>
          <w:color w:val="000000"/>
          <w:sz w:val="32"/>
          <w:szCs w:val="32"/>
          <w:u w:val="none"/>
          <w:lang w:val="en-US" w:eastAsia="zh-CN"/>
        </w:rPr>
        <w:t>，</w:t>
      </w:r>
      <w:r>
        <w:rPr>
          <w:rFonts w:hint="eastAsia" w:ascii="仿宋_GB2312" w:hAnsi="楷体_GB2312" w:eastAsia="仿宋_GB2312" w:cs="楷体_GB2312"/>
          <w:color w:val="000000"/>
          <w:sz w:val="32"/>
          <w:szCs w:val="32"/>
          <w:u w:val="none"/>
          <w:lang w:val="en-US"/>
        </w:rPr>
        <w:t>加强</w:t>
      </w:r>
      <w:r>
        <w:rPr>
          <w:rFonts w:hint="eastAsia" w:ascii="仿宋_GB2312" w:hAnsi="楷体_GB2312" w:eastAsia="仿宋_GB2312" w:cs="楷体_GB2312"/>
          <w:sz w:val="32"/>
          <w:szCs w:val="32"/>
        </w:rPr>
        <w:t>防灾减灾救灾和突发事件应对处置能力</w:t>
      </w:r>
      <w:r>
        <w:rPr>
          <w:rFonts w:hint="eastAsia" w:ascii="仿宋_GB2312" w:hAnsi="楷体_GB2312" w:eastAsia="仿宋_GB2312" w:cs="楷体_GB2312"/>
          <w:color w:val="000000"/>
          <w:sz w:val="32"/>
          <w:szCs w:val="32"/>
          <w:u w:val="none"/>
          <w:lang w:val="en-US"/>
        </w:rPr>
        <w:t>建设</w:t>
      </w:r>
      <w:r>
        <w:rPr>
          <w:rFonts w:hint="eastAsia" w:ascii="仿宋_GB2312" w:hAnsi="楷体_GB2312" w:eastAsia="仿宋_GB2312" w:cs="楷体_GB2312"/>
          <w:color w:val="000000"/>
          <w:sz w:val="32"/>
          <w:szCs w:val="32"/>
          <w:u w:val="none"/>
          <w:lang w:val="en-US" w:eastAsia="zh-CN"/>
        </w:rPr>
        <w:t>，提升基层应急管理能力，以“时时放心不下”的责任感和“事事心中有底”的行动力，积极</w:t>
      </w:r>
      <w:r>
        <w:rPr>
          <w:rFonts w:hint="eastAsia" w:ascii="仿宋_GB2312" w:hAnsi="楷体_GB2312" w:eastAsia="仿宋_GB2312" w:cs="楷体_GB2312"/>
          <w:color w:val="000000"/>
          <w:sz w:val="32"/>
          <w:szCs w:val="32"/>
          <w:u w:val="none"/>
          <w:lang w:val="en-US"/>
        </w:rPr>
        <w:t>防范化解重大安全风险，杜绝重特大事故</w:t>
      </w:r>
      <w:r>
        <w:rPr>
          <w:rFonts w:hint="eastAsia" w:ascii="仿宋_GB2312" w:hAnsi="楷体_GB2312" w:eastAsia="仿宋_GB2312" w:cs="楷体_GB2312"/>
          <w:color w:val="000000"/>
          <w:sz w:val="32"/>
          <w:szCs w:val="32"/>
          <w:u w:val="none"/>
          <w:lang w:val="en-US" w:eastAsia="zh-CN"/>
        </w:rPr>
        <w:t>，遏制</w:t>
      </w:r>
      <w:r>
        <w:rPr>
          <w:rFonts w:hint="eastAsia" w:ascii="仿宋_GB2312" w:hAnsi="楷体_GB2312" w:eastAsia="仿宋_GB2312" w:cs="楷体_GB2312"/>
          <w:color w:val="000000"/>
          <w:sz w:val="32"/>
          <w:szCs w:val="32"/>
          <w:u w:val="none"/>
          <w:lang w:val="en-US"/>
        </w:rPr>
        <w:t>较大事故</w:t>
      </w:r>
      <w:r>
        <w:rPr>
          <w:rFonts w:hint="eastAsia" w:ascii="仿宋_GB2312" w:hAnsi="楷体_GB2312" w:eastAsia="仿宋_GB2312" w:cs="楷体_GB2312"/>
          <w:color w:val="000000"/>
          <w:sz w:val="32"/>
          <w:szCs w:val="32"/>
          <w:u w:val="none"/>
          <w:lang w:val="en-US" w:eastAsia="zh-CN"/>
        </w:rPr>
        <w:t>，减少</w:t>
      </w:r>
      <w:r>
        <w:rPr>
          <w:rFonts w:hint="eastAsia" w:ascii="仿宋_GB2312" w:hAnsi="楷体_GB2312" w:eastAsia="仿宋_GB2312" w:cs="楷体_GB2312"/>
          <w:color w:val="000000"/>
          <w:sz w:val="32"/>
          <w:szCs w:val="32"/>
          <w:u w:val="none"/>
          <w:lang w:val="en-US"/>
        </w:rPr>
        <w:t>一般事故，守牢安全底线</w:t>
      </w:r>
      <w:r>
        <w:rPr>
          <w:rFonts w:hint="eastAsia" w:ascii="仿宋_GB2312" w:hAnsi="楷体_GB2312" w:eastAsia="仿宋_GB2312" w:cs="楷体_GB2312"/>
          <w:color w:val="000000"/>
          <w:sz w:val="32"/>
          <w:szCs w:val="32"/>
          <w:u w:val="none"/>
          <w:lang w:val="en-US" w:eastAsia="zh-CN"/>
        </w:rPr>
        <w:t>，</w:t>
      </w:r>
      <w:r>
        <w:rPr>
          <w:rFonts w:hint="eastAsia" w:ascii="仿宋_GB2312" w:hAnsi="楷体_GB2312" w:eastAsia="仿宋_GB2312" w:cs="楷体_GB2312"/>
          <w:sz w:val="32"/>
          <w:szCs w:val="32"/>
        </w:rPr>
        <w:t>为我</w:t>
      </w:r>
      <w:r>
        <w:rPr>
          <w:rFonts w:hint="eastAsia" w:ascii="仿宋_GB2312" w:hAnsi="楷体_GB2312" w:eastAsia="仿宋_GB2312" w:cs="楷体_GB2312"/>
          <w:sz w:val="32"/>
          <w:szCs w:val="32"/>
          <w:lang w:eastAsia="zh-CN"/>
        </w:rPr>
        <w:t>区</w:t>
      </w:r>
      <w:r>
        <w:rPr>
          <w:rFonts w:hint="eastAsia" w:ascii="仿宋_GB2312" w:hAnsi="楷体_GB2312" w:eastAsia="仿宋_GB2312" w:cs="楷体_GB2312"/>
          <w:sz w:val="32"/>
          <w:szCs w:val="32"/>
        </w:rPr>
        <w:t>全方位推动高质量发展提供坚实安全保障。</w:t>
      </w:r>
    </w:p>
    <w:p w14:paraId="60ED9A26">
      <w:pPr>
        <w:pStyle w:val="2"/>
        <w:widowControl w:val="0"/>
        <w:wordWrap/>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color w:val="000000"/>
          <w:sz w:val="32"/>
          <w:szCs w:val="32"/>
          <w:u w:val="none"/>
          <w:lang w:val="en-US" w:eastAsia="zh-CN"/>
        </w:rPr>
      </w:pPr>
      <w:bookmarkStart w:id="3" w:name="_Toc23966"/>
      <w:bookmarkStart w:id="4" w:name="_Toc25933"/>
      <w:bookmarkStart w:id="5" w:name="_Toc27187"/>
      <w:r>
        <w:rPr>
          <w:rFonts w:hint="eastAsia" w:ascii="黑体" w:hAnsi="黑体" w:eastAsia="黑体" w:cs="黑体"/>
          <w:b w:val="0"/>
          <w:bCs w:val="0"/>
          <w:color w:val="000000"/>
          <w:sz w:val="32"/>
          <w:szCs w:val="32"/>
          <w:u w:val="none"/>
          <w:lang w:val="en-US" w:eastAsia="zh-CN"/>
        </w:rPr>
        <w:t>一、</w:t>
      </w:r>
      <w:bookmarkEnd w:id="3"/>
      <w:bookmarkEnd w:id="4"/>
      <w:bookmarkEnd w:id="5"/>
      <w:r>
        <w:rPr>
          <w:rFonts w:hint="eastAsia" w:ascii="黑体" w:hAnsi="黑体" w:eastAsia="黑体" w:cs="黑体"/>
          <w:sz w:val="32"/>
          <w:szCs w:val="32"/>
          <w:lang w:val="en-US" w:eastAsia="zh-CN"/>
        </w:rPr>
        <w:t>筑牢思想根基，全方位提升安全意识</w:t>
      </w:r>
    </w:p>
    <w:p w14:paraId="2A505B53">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sz w:val="32"/>
          <w:szCs w:val="32"/>
          <w:u w:val="none"/>
          <w:lang w:val="en-US" w:eastAsia="zh-CN"/>
        </w:rPr>
      </w:pPr>
      <w:bookmarkStart w:id="6" w:name="_Toc32469"/>
      <w:bookmarkStart w:id="7" w:name="_Toc3324"/>
      <w:bookmarkStart w:id="8" w:name="_Toc8"/>
      <w:r>
        <w:rPr>
          <w:rStyle w:val="48"/>
          <w:rFonts w:hint="eastAsia" w:ascii="楷体_GB2312" w:hAnsi="楷体_GB2312" w:eastAsia="楷体_GB2312" w:cs="楷体_GB2312"/>
          <w:b/>
          <w:bCs/>
          <w:color w:val="000000"/>
          <w:kern w:val="2"/>
          <w:sz w:val="32"/>
          <w:szCs w:val="32"/>
          <w:u w:val="none"/>
          <w:lang w:val="en-US" w:eastAsia="zh-CN" w:bidi="ar-SA"/>
        </w:rPr>
        <w:t>（一）提高政治站位。</w:t>
      </w:r>
      <w:bookmarkEnd w:id="6"/>
      <w:bookmarkEnd w:id="7"/>
      <w:bookmarkEnd w:id="8"/>
      <w:r>
        <w:rPr>
          <w:rFonts w:hint="eastAsia" w:ascii="仿宋_GB2312" w:hAnsi="楷体_GB2312" w:eastAsia="仿宋_GB2312" w:cs="楷体_GB2312"/>
          <w:color w:val="000000"/>
          <w:sz w:val="32"/>
          <w:szCs w:val="32"/>
          <w:u w:val="none"/>
          <w:lang w:val="en-US" w:eastAsia="zh-CN"/>
        </w:rPr>
        <w:t>把习近平总书记关于安全生产和防灾减灾救灾重要讲话和指示批示作为党委（党组）第一议题及时跟进学习，把习近平总书记关于应急管理重要论述作为理论学习中心组重要内容定期组织专题学习，把党中央国务院、省委省政府、市委市政府及区委区政府关于安全生产重大决策部署作为重要议题及时传达学习，强化发展决不能以牺牲安全为代价的红线意识，树牢事故可防可控的理念，严格工作措施，建立落实清单，加强跟踪问效。（区安委办、各乡镇（区、街道）负责。以下均需各乡镇（区、街道）负责，不再一一列出）</w:t>
      </w:r>
    </w:p>
    <w:p w14:paraId="41E1D8E5">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sz w:val="32"/>
          <w:szCs w:val="32"/>
          <w:u w:val="none"/>
          <w:lang w:val="en-US" w:eastAsia="zh-CN"/>
        </w:rPr>
      </w:pPr>
      <w:bookmarkStart w:id="9" w:name="_Toc6656"/>
      <w:bookmarkStart w:id="10" w:name="_Toc6681"/>
      <w:bookmarkStart w:id="11" w:name="_Toc28848"/>
      <w:r>
        <w:rPr>
          <w:rStyle w:val="48"/>
          <w:rFonts w:hint="eastAsia" w:ascii="楷体_GB2312" w:hAnsi="楷体_GB2312" w:eastAsia="楷体_GB2312" w:cs="楷体_GB2312"/>
          <w:b/>
          <w:bCs/>
          <w:color w:val="000000"/>
          <w:kern w:val="2"/>
          <w:sz w:val="32"/>
          <w:szCs w:val="32"/>
          <w:u w:val="none"/>
          <w:lang w:val="en-US" w:eastAsia="zh-CN" w:bidi="ar-SA"/>
        </w:rPr>
        <w:t>（二）</w:t>
      </w:r>
      <w:bookmarkStart w:id="12" w:name="_Toc2398"/>
      <w:r>
        <w:rPr>
          <w:rFonts w:hint="eastAsia" w:ascii="楷体" w:hAnsi="楷体" w:eastAsia="楷体" w:cs="楷体"/>
          <w:b/>
          <w:bCs/>
          <w:sz w:val="32"/>
          <w:szCs w:val="32"/>
          <w:lang w:val="en-US" w:eastAsia="zh-CN"/>
        </w:rPr>
        <w:t>强化安全宣贯</w:t>
      </w:r>
      <w:r>
        <w:rPr>
          <w:rStyle w:val="48"/>
          <w:rFonts w:hint="eastAsia" w:ascii="楷体_GB2312" w:hAnsi="楷体_GB2312" w:eastAsia="楷体_GB2312" w:cs="楷体_GB2312"/>
          <w:b/>
          <w:bCs/>
          <w:color w:val="000000"/>
          <w:kern w:val="2"/>
          <w:sz w:val="32"/>
          <w:szCs w:val="32"/>
          <w:u w:val="none"/>
          <w:lang w:val="en-US" w:eastAsia="zh-CN" w:bidi="ar-SA"/>
        </w:rPr>
        <w:t>。</w:t>
      </w:r>
      <w:bookmarkEnd w:id="9"/>
      <w:bookmarkEnd w:id="10"/>
      <w:bookmarkEnd w:id="11"/>
      <w:bookmarkEnd w:id="12"/>
      <w:r>
        <w:rPr>
          <w:rFonts w:hint="eastAsia" w:ascii="仿宋_GB2312" w:hAnsi="楷体_GB2312" w:eastAsia="仿宋_GB2312" w:cs="楷体_GB2312"/>
          <w:color w:val="000000"/>
          <w:sz w:val="32"/>
          <w:szCs w:val="32"/>
          <w:u w:val="none"/>
          <w:lang w:val="en-US" w:eastAsia="zh-CN"/>
        </w:rPr>
        <w:t>把安全生产纳入各级党委（党组）宣传计划，在电视台、电台、报纸等主流媒体开辟专题专栏，利用政府网站、微信、微博、抖音等新媒体常态化开展宣传。组织开展安全生产月、消防宣传月、防灾减灾宣传周等专题活动。</w:t>
      </w:r>
      <w:r>
        <w:rPr>
          <w:rFonts w:hint="eastAsia" w:ascii="仿宋_GB2312" w:hAnsi="楷体_GB2312" w:eastAsia="仿宋_GB2312" w:cs="楷体_GB2312"/>
          <w:sz w:val="32"/>
          <w:szCs w:val="32"/>
        </w:rPr>
        <w:t>深入开展安全宣传“五进”、安全生产月、消防宣传月</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color w:val="000000"/>
          <w:sz w:val="32"/>
          <w:szCs w:val="32"/>
          <w:u w:val="none"/>
          <w:lang w:val="en-US" w:eastAsia="zh-CN"/>
        </w:rPr>
        <w:t>防灾减灾宣传周</w:t>
      </w:r>
      <w:r>
        <w:rPr>
          <w:rFonts w:hint="eastAsia" w:ascii="仿宋_GB2312" w:hAnsi="楷体_GB2312" w:eastAsia="仿宋_GB2312" w:cs="楷体_GB2312"/>
          <w:sz w:val="32"/>
          <w:szCs w:val="32"/>
        </w:rPr>
        <w:t>等活动，</w:t>
      </w:r>
      <w:r>
        <w:rPr>
          <w:rFonts w:hint="eastAsia" w:ascii="仿宋_GB2312" w:hAnsi="楷体_GB2312" w:eastAsia="仿宋_GB2312" w:cs="楷体_GB2312"/>
          <w:color w:val="000000"/>
          <w:sz w:val="32"/>
          <w:szCs w:val="32"/>
          <w:u w:val="none"/>
          <w:lang w:val="en-US" w:eastAsia="zh-CN"/>
        </w:rPr>
        <w:t>进企宣讲、送教下乡、入户提醒。注重安全意识从娃娃抓起，督促各类学校上好安全教育课，指导各类人员密集场所加强应急逃生和自救互救演练。发挥工青妇等群团组织作用，加强群监员安全监督，开展家庭安全寄语等活动，筑牢安全生产人民防线。</w:t>
      </w:r>
      <w:r>
        <w:rPr>
          <w:rFonts w:hint="eastAsia" w:ascii="仿宋_GB2312" w:hAnsi="楷体_GB2312" w:eastAsia="仿宋_GB2312" w:cs="楷体_GB2312"/>
          <w:sz w:val="32"/>
          <w:szCs w:val="32"/>
        </w:rPr>
        <w:t>加强先进典型宣传，积极营造安全文化氛围。推动将应急管理和消防安全纳入</w:t>
      </w:r>
      <w:r>
        <w:rPr>
          <w:rFonts w:hint="eastAsia" w:ascii="仿宋_GB2312" w:hAnsi="楷体_GB2312" w:eastAsia="仿宋_GB2312" w:cs="楷体_GB2312"/>
          <w:sz w:val="32"/>
          <w:szCs w:val="32"/>
          <w:lang w:eastAsia="zh-CN"/>
        </w:rPr>
        <w:t>县、乡</w:t>
      </w:r>
      <w:r>
        <w:rPr>
          <w:rFonts w:hint="eastAsia" w:ascii="仿宋_GB2312" w:hAnsi="楷体_GB2312" w:eastAsia="仿宋_GB2312" w:cs="楷体_GB2312"/>
          <w:sz w:val="32"/>
          <w:szCs w:val="32"/>
        </w:rPr>
        <w:t>党政正职等领导干部培训内容。推动企业建立完善安全培训管理体系。加强特种作业人员等现场培训和实操实训。推进安全文化示范企业创建，注重用文化的力量凝聚共识、集中智慧，齐心协力、持之以恒，推动社会各界重视、参与和支持安全生产工作，促进安全生产形势持续稳定好转。</w:t>
      </w:r>
      <w:r>
        <w:rPr>
          <w:rFonts w:hint="eastAsia" w:ascii="仿宋_GB2312" w:hAnsi="楷体_GB2312" w:eastAsia="仿宋_GB2312" w:cs="楷体_GB2312"/>
          <w:color w:val="000000"/>
          <w:sz w:val="32"/>
          <w:szCs w:val="32"/>
          <w:u w:val="none"/>
          <w:lang w:val="en-US"/>
        </w:rPr>
        <w:t>（</w:t>
      </w:r>
      <w:r>
        <w:rPr>
          <w:rFonts w:hint="eastAsia" w:ascii="仿宋_GB2312" w:hAnsi="楷体_GB2312" w:eastAsia="仿宋_GB2312" w:cs="楷体_GB2312"/>
          <w:color w:val="000000"/>
          <w:sz w:val="32"/>
          <w:szCs w:val="32"/>
          <w:u w:val="none"/>
          <w:lang w:val="en-US" w:eastAsia="zh-CN"/>
        </w:rPr>
        <w:t>区安委会有关成员单位负责</w:t>
      </w:r>
      <w:r>
        <w:rPr>
          <w:rFonts w:hint="eastAsia" w:ascii="仿宋_GB2312" w:hAnsi="楷体_GB2312" w:eastAsia="仿宋_GB2312" w:cs="楷体_GB2312"/>
          <w:color w:val="000000"/>
          <w:sz w:val="32"/>
          <w:szCs w:val="32"/>
          <w:u w:val="none"/>
          <w:lang w:val="en-US"/>
        </w:rPr>
        <w:t>）</w:t>
      </w:r>
    </w:p>
    <w:p w14:paraId="4DFBF1F4">
      <w:pPr>
        <w:pStyle w:val="26"/>
        <w:widowControl w:val="0"/>
        <w:wordWrap/>
        <w:adjustRightInd/>
        <w:snapToGrid/>
        <w:spacing w:after="0" w:line="600" w:lineRule="exact"/>
        <w:ind w:left="0" w:leftChars="0" w:firstLine="643" w:firstLineChars="200"/>
        <w:textAlignment w:val="auto"/>
        <w:rPr>
          <w:rFonts w:hint="eastAsia" w:ascii="仿宋_GB2312" w:hAnsi="楷体_GB2312" w:eastAsia="仿宋_GB2312" w:cs="楷体_GB2312"/>
          <w:color w:val="000000"/>
          <w:kern w:val="2"/>
          <w:sz w:val="32"/>
          <w:szCs w:val="32"/>
          <w:u w:val="none"/>
          <w:lang w:val="en-US" w:eastAsia="zh-CN" w:bidi="ar-SA"/>
        </w:rPr>
      </w:pPr>
      <w:bookmarkStart w:id="13" w:name="_Toc26748"/>
      <w:bookmarkStart w:id="14" w:name="_Toc4020"/>
      <w:bookmarkStart w:id="15" w:name="_Toc11698"/>
      <w:r>
        <w:rPr>
          <w:rStyle w:val="48"/>
          <w:rFonts w:hint="eastAsia" w:ascii="楷体_GB2312" w:hAnsi="楷体_GB2312" w:eastAsia="楷体_GB2312" w:cs="楷体_GB2312"/>
          <w:b/>
          <w:bCs/>
          <w:color w:val="000000"/>
          <w:kern w:val="2"/>
          <w:sz w:val="32"/>
          <w:szCs w:val="32"/>
          <w:u w:val="none"/>
          <w:lang w:val="en-US" w:eastAsia="zh-CN" w:bidi="ar-SA"/>
        </w:rPr>
        <w:t>（三）</w:t>
      </w:r>
      <w:bookmarkStart w:id="16" w:name="_Toc21095"/>
      <w:r>
        <w:rPr>
          <w:rStyle w:val="48"/>
          <w:rFonts w:hint="eastAsia" w:ascii="楷体_GB2312" w:hAnsi="楷体_GB2312" w:eastAsia="楷体_GB2312" w:cs="楷体_GB2312"/>
          <w:b/>
          <w:bCs/>
          <w:color w:val="000000"/>
          <w:kern w:val="2"/>
          <w:sz w:val="32"/>
          <w:szCs w:val="32"/>
          <w:u w:val="none"/>
          <w:lang w:val="en-US" w:eastAsia="zh-CN" w:bidi="ar-SA"/>
        </w:rPr>
        <w:t>强化警示教育</w:t>
      </w:r>
      <w:r>
        <w:rPr>
          <w:rStyle w:val="48"/>
          <w:rFonts w:hint="eastAsia" w:ascii="楷体_GB2312" w:hAnsi="楷体_GB2312" w:eastAsia="楷体_GB2312" w:cs="楷体_GB2312"/>
          <w:b/>
          <w:bCs/>
          <w:color w:val="000000"/>
          <w:kern w:val="2"/>
          <w:sz w:val="32"/>
          <w:szCs w:val="32"/>
          <w:u w:val="none"/>
          <w:lang w:val="en-US" w:bidi="ar-SA"/>
        </w:rPr>
        <w:t>。</w:t>
      </w:r>
      <w:bookmarkEnd w:id="13"/>
      <w:bookmarkEnd w:id="14"/>
      <w:bookmarkEnd w:id="15"/>
      <w:bookmarkEnd w:id="16"/>
      <w:r>
        <w:rPr>
          <w:rFonts w:hint="eastAsia" w:ascii="仿宋_GB2312" w:hAnsi="楷体_GB2312" w:eastAsia="仿宋_GB2312" w:cs="楷体_GB2312"/>
          <w:color w:val="000000"/>
          <w:kern w:val="2"/>
          <w:sz w:val="32"/>
          <w:szCs w:val="32"/>
          <w:u w:val="none"/>
          <w:lang w:val="en-US" w:eastAsia="zh-CN" w:bidi="ar-SA"/>
        </w:rPr>
        <w:t>设立曝光台，加大</w:t>
      </w:r>
      <w:r>
        <w:rPr>
          <w:rFonts w:hint="default" w:ascii="仿宋_GB2312" w:hAnsi="楷体_GB2312" w:eastAsia="仿宋_GB2312" w:cs="楷体_GB2312"/>
          <w:color w:val="000000"/>
          <w:kern w:val="2"/>
          <w:sz w:val="32"/>
          <w:szCs w:val="32"/>
          <w:u w:val="none"/>
          <w:lang w:val="en-US" w:eastAsia="zh-CN" w:bidi="ar-SA"/>
        </w:rPr>
        <w:t>典型事故、违法案例、隐患场景曝光</w:t>
      </w:r>
      <w:r>
        <w:rPr>
          <w:rFonts w:hint="eastAsia" w:ascii="仿宋_GB2312" w:hAnsi="楷体_GB2312" w:eastAsia="仿宋_GB2312" w:cs="楷体_GB2312"/>
          <w:color w:val="000000"/>
          <w:kern w:val="2"/>
          <w:sz w:val="32"/>
          <w:szCs w:val="32"/>
          <w:u w:val="none"/>
          <w:lang w:val="en-US" w:eastAsia="zh-CN" w:bidi="ar-SA"/>
        </w:rPr>
        <w:t>力度</w:t>
      </w:r>
      <w:r>
        <w:rPr>
          <w:rFonts w:hint="default" w:ascii="仿宋_GB2312" w:hAnsi="楷体_GB2312" w:eastAsia="仿宋_GB2312" w:cs="楷体_GB2312"/>
          <w:color w:val="000000"/>
          <w:kern w:val="2"/>
          <w:sz w:val="32"/>
          <w:szCs w:val="32"/>
          <w:u w:val="none"/>
          <w:lang w:val="en-US" w:eastAsia="zh-CN" w:bidi="ar-SA"/>
        </w:rPr>
        <w:t>。</w:t>
      </w:r>
      <w:r>
        <w:rPr>
          <w:rFonts w:hint="eastAsia" w:ascii="仿宋_GB2312" w:hAnsi="楷体_GB2312" w:eastAsia="仿宋_GB2312" w:cs="楷体_GB2312"/>
          <w:color w:val="000000"/>
          <w:kern w:val="2"/>
          <w:sz w:val="32"/>
          <w:szCs w:val="32"/>
          <w:u w:val="none"/>
          <w:lang w:val="en-US" w:eastAsia="zh-CN" w:bidi="ar-SA"/>
        </w:rPr>
        <w:t>对发生较大以上事故和典型事故的，由行业主管部门会同</w:t>
      </w:r>
      <w:r>
        <w:rPr>
          <w:rFonts w:hint="eastAsia" w:ascii="仿宋_GB2312" w:hAnsi="楷体_GB2312" w:cs="楷体_GB2312"/>
          <w:color w:val="000000"/>
          <w:kern w:val="2"/>
          <w:sz w:val="32"/>
          <w:szCs w:val="32"/>
          <w:u w:val="none"/>
          <w:lang w:val="en-US" w:eastAsia="zh-CN" w:bidi="ar-SA"/>
        </w:rPr>
        <w:t>区</w:t>
      </w:r>
      <w:r>
        <w:rPr>
          <w:rFonts w:hint="eastAsia" w:ascii="仿宋_GB2312" w:hAnsi="楷体_GB2312" w:eastAsia="仿宋_GB2312" w:cs="楷体_GB2312"/>
          <w:color w:val="000000"/>
          <w:kern w:val="2"/>
          <w:sz w:val="32"/>
          <w:szCs w:val="32"/>
          <w:u w:val="none"/>
          <w:lang w:val="en-US" w:eastAsia="zh-CN" w:bidi="ar-SA"/>
        </w:rPr>
        <w:t>政府组织召开现场警示会；牵头负责事故调查的部门会同</w:t>
      </w:r>
      <w:r>
        <w:rPr>
          <w:rFonts w:hint="eastAsia" w:ascii="仿宋_GB2312" w:hAnsi="楷体_GB2312" w:cs="楷体_GB2312"/>
          <w:color w:val="000000"/>
          <w:kern w:val="2"/>
          <w:sz w:val="32"/>
          <w:szCs w:val="32"/>
          <w:u w:val="none"/>
          <w:lang w:val="en-US" w:eastAsia="zh-CN" w:bidi="ar-SA"/>
        </w:rPr>
        <w:t>区</w:t>
      </w:r>
      <w:r>
        <w:rPr>
          <w:rFonts w:hint="eastAsia" w:ascii="仿宋_GB2312" w:hAnsi="楷体_GB2312" w:eastAsia="仿宋_GB2312" w:cs="楷体_GB2312"/>
          <w:color w:val="000000"/>
          <w:kern w:val="2"/>
          <w:sz w:val="32"/>
          <w:szCs w:val="32"/>
          <w:u w:val="none"/>
          <w:lang w:val="en-US" w:eastAsia="zh-CN" w:bidi="ar-SA"/>
        </w:rPr>
        <w:t>政府下发事故通报、制作发放警示教育片，并由各单位组织集中观看，切实做到一厂出事故、万厂受教育，一地有隐患、全</w:t>
      </w:r>
      <w:r>
        <w:rPr>
          <w:rFonts w:hint="eastAsia" w:ascii="仿宋_GB2312" w:hAnsi="楷体_GB2312" w:cs="楷体_GB2312"/>
          <w:color w:val="000000"/>
          <w:kern w:val="2"/>
          <w:sz w:val="32"/>
          <w:szCs w:val="32"/>
          <w:u w:val="none"/>
          <w:lang w:val="en-US" w:eastAsia="zh-CN" w:bidi="ar-SA"/>
        </w:rPr>
        <w:t>区</w:t>
      </w:r>
      <w:r>
        <w:rPr>
          <w:rFonts w:hint="eastAsia" w:ascii="仿宋_GB2312" w:hAnsi="楷体_GB2312" w:eastAsia="仿宋_GB2312" w:cs="楷体_GB2312"/>
          <w:color w:val="000000"/>
          <w:kern w:val="2"/>
          <w:sz w:val="32"/>
          <w:szCs w:val="32"/>
          <w:u w:val="none"/>
          <w:lang w:val="en-US" w:eastAsia="zh-CN" w:bidi="ar-SA"/>
        </w:rPr>
        <w:t>受警示</w:t>
      </w:r>
      <w:r>
        <w:rPr>
          <w:rFonts w:hint="eastAsia" w:ascii="仿宋_GB2312" w:hAnsi="楷体_GB2312" w:eastAsia="仿宋_GB2312" w:cs="楷体_GB2312"/>
          <w:color w:val="000000"/>
          <w:kern w:val="2"/>
          <w:sz w:val="32"/>
          <w:szCs w:val="32"/>
          <w:u w:val="none"/>
          <w:lang w:val="en-US" w:bidi="ar-SA"/>
        </w:rPr>
        <w:t>。（</w:t>
      </w:r>
      <w:r>
        <w:rPr>
          <w:rFonts w:hint="eastAsia" w:ascii="仿宋_GB2312" w:hAnsi="楷体_GB2312" w:cs="楷体_GB2312"/>
          <w:color w:val="000000"/>
          <w:kern w:val="2"/>
          <w:sz w:val="32"/>
          <w:szCs w:val="32"/>
          <w:u w:val="none"/>
          <w:lang w:val="en-US" w:eastAsia="zh-CN" w:bidi="ar-SA"/>
        </w:rPr>
        <w:t>区</w:t>
      </w:r>
      <w:r>
        <w:rPr>
          <w:rFonts w:hint="eastAsia" w:ascii="仿宋_GB2312" w:hAnsi="楷体_GB2312" w:eastAsia="仿宋_GB2312" w:cs="楷体_GB2312"/>
          <w:color w:val="000000"/>
          <w:kern w:val="2"/>
          <w:sz w:val="32"/>
          <w:szCs w:val="32"/>
          <w:u w:val="none"/>
          <w:lang w:val="en-US" w:eastAsia="zh-CN" w:bidi="ar-SA"/>
        </w:rPr>
        <w:t>安委会有关成员单位负责</w:t>
      </w:r>
      <w:r>
        <w:rPr>
          <w:rFonts w:hint="eastAsia" w:ascii="仿宋_GB2312" w:hAnsi="楷体_GB2312" w:eastAsia="仿宋_GB2312" w:cs="楷体_GB2312"/>
          <w:color w:val="000000"/>
          <w:kern w:val="2"/>
          <w:sz w:val="32"/>
          <w:szCs w:val="32"/>
          <w:u w:val="none"/>
          <w:lang w:val="en-US" w:bidi="ar-SA"/>
        </w:rPr>
        <w:t>）</w:t>
      </w:r>
    </w:p>
    <w:p w14:paraId="03B0B6F8">
      <w:pPr>
        <w:pStyle w:val="2"/>
        <w:widowControl w:val="0"/>
        <w:wordWrap/>
        <w:adjustRightInd/>
        <w:snapToGrid/>
        <w:spacing w:before="0" w:beforeAutospacing="0" w:after="0" w:afterAutospacing="0" w:line="600" w:lineRule="exact"/>
        <w:ind w:firstLine="643" w:firstLineChars="200"/>
        <w:textAlignment w:val="auto"/>
        <w:rPr>
          <w:rFonts w:hint="default"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二、健全体制机制</w:t>
      </w:r>
      <w:bookmarkEnd w:id="0"/>
      <w:bookmarkEnd w:id="1"/>
      <w:bookmarkEnd w:id="2"/>
      <w:r>
        <w:rPr>
          <w:rFonts w:hint="eastAsia" w:ascii="黑体" w:hAnsi="黑体" w:eastAsia="黑体" w:cs="黑体"/>
          <w:color w:val="000000"/>
          <w:sz w:val="32"/>
          <w:szCs w:val="32"/>
          <w:u w:val="none"/>
          <w:lang w:val="en-US" w:eastAsia="zh-CN"/>
        </w:rPr>
        <w:t>，深层次筑牢制度防线</w:t>
      </w:r>
    </w:p>
    <w:p w14:paraId="224D6EAA">
      <w:pPr>
        <w:numPr>
          <w:ilvl w:val="0"/>
          <w:numId w:val="0"/>
        </w:numPr>
        <w:ind w:leftChars="0" w:firstLine="643" w:firstLineChars="200"/>
        <w:rPr>
          <w:rStyle w:val="48"/>
          <w:rFonts w:hint="eastAsia" w:ascii="仿宋_GB2312" w:hAnsi="仿宋_GB2312" w:eastAsia="仿宋_GB2312" w:cs="仿宋_GB2312"/>
          <w:b w:val="0"/>
          <w:bCs w:val="0"/>
          <w:color w:val="auto"/>
          <w:kern w:val="2"/>
          <w:sz w:val="32"/>
          <w:szCs w:val="32"/>
          <w:u w:val="none"/>
          <w:lang w:val="en-US" w:eastAsia="zh-CN" w:bidi="ar-SA"/>
        </w:rPr>
      </w:pPr>
      <w:bookmarkStart w:id="17" w:name="_Toc27577"/>
      <w:bookmarkStart w:id="18" w:name="_Toc31003"/>
      <w:bookmarkStart w:id="19" w:name="_Toc2497"/>
      <w:r>
        <w:rPr>
          <w:rStyle w:val="48"/>
          <w:rFonts w:hint="eastAsia" w:ascii="楷体_GB2312" w:hAnsi="楷体_GB2312" w:eastAsia="楷体_GB2312" w:cs="楷体_GB2312"/>
          <w:b/>
          <w:bCs/>
          <w:color w:val="auto"/>
          <w:kern w:val="2"/>
          <w:sz w:val="32"/>
          <w:szCs w:val="32"/>
          <w:u w:val="none"/>
          <w:lang w:val="en-US" w:eastAsia="zh-CN" w:bidi="ar-SA"/>
        </w:rPr>
        <w:t>（四）</w:t>
      </w:r>
      <w:r>
        <w:rPr>
          <w:rFonts w:hint="eastAsia" w:ascii="楷体" w:hAnsi="楷体" w:eastAsia="楷体" w:cs="楷体"/>
          <w:b/>
          <w:bCs/>
          <w:color w:val="auto"/>
          <w:sz w:val="32"/>
          <w:szCs w:val="32"/>
          <w:lang w:val="en-US" w:eastAsia="zh-CN"/>
        </w:rPr>
        <w:t>强化组织领导</w:t>
      </w:r>
      <w:r>
        <w:rPr>
          <w:rStyle w:val="48"/>
          <w:rFonts w:hint="eastAsia" w:ascii="楷体" w:hAnsi="楷体" w:eastAsia="楷体" w:cs="楷体"/>
          <w:b/>
          <w:bCs/>
          <w:color w:val="auto"/>
          <w:kern w:val="2"/>
          <w:sz w:val="32"/>
          <w:szCs w:val="32"/>
          <w:u w:val="none"/>
          <w:lang w:val="en-US" w:eastAsia="zh-CN" w:bidi="ar-SA"/>
        </w:rPr>
        <w:t>。</w:t>
      </w:r>
      <w:bookmarkEnd w:id="17"/>
      <w:bookmarkEnd w:id="18"/>
      <w:bookmarkEnd w:id="19"/>
      <w:r>
        <w:rPr>
          <w:rStyle w:val="48"/>
          <w:rFonts w:hint="eastAsia" w:ascii="仿宋_GB2312" w:hAnsi="仿宋_GB2312" w:eastAsia="仿宋_GB2312" w:cs="仿宋_GB2312"/>
          <w:b w:val="0"/>
          <w:bCs w:val="0"/>
          <w:color w:val="auto"/>
          <w:kern w:val="2"/>
          <w:sz w:val="32"/>
          <w:szCs w:val="32"/>
          <w:u w:val="none"/>
          <w:lang w:val="en-US" w:eastAsia="zh-CN" w:bidi="ar-SA"/>
        </w:rPr>
        <w:t>根据工作需要，设立防灾减灾救灾委员会，完善防灾减灾救灾委员会与各灾种应急指挥部常态与非常态下应急工作机制，强化上下协同联动，承接好相</w:t>
      </w:r>
      <w:bookmarkStart w:id="87" w:name="_GoBack"/>
      <w:bookmarkEnd w:id="87"/>
      <w:r>
        <w:rPr>
          <w:rStyle w:val="48"/>
          <w:rFonts w:hint="eastAsia" w:ascii="仿宋_GB2312" w:hAnsi="仿宋_GB2312" w:eastAsia="仿宋_GB2312" w:cs="仿宋_GB2312"/>
          <w:b w:val="0"/>
          <w:bCs w:val="0"/>
          <w:color w:val="auto"/>
          <w:kern w:val="2"/>
          <w:sz w:val="32"/>
          <w:szCs w:val="32"/>
          <w:u w:val="none"/>
          <w:lang w:val="en-US" w:eastAsia="zh-CN" w:bidi="ar-SA"/>
        </w:rPr>
        <w:t>关工作。制定我区提升基层应急管理能力的若干措施，理顺乡镇（街道）应急管理体制，明确专门工作力量，建立应急管理及消防履职事项清单，纳入基层网格化管理服务内容。（</w:t>
      </w:r>
      <w:r>
        <w:rPr>
          <w:rFonts w:hint="eastAsia" w:ascii="仿宋_GB2312" w:hAnsi="楷体_GB2312" w:eastAsia="仿宋_GB2312" w:cs="楷体_GB2312"/>
          <w:color w:val="auto"/>
          <w:kern w:val="2"/>
          <w:sz w:val="32"/>
          <w:szCs w:val="32"/>
          <w:u w:val="none"/>
          <w:lang w:val="en-US" w:eastAsia="zh-CN" w:bidi="ar-SA"/>
        </w:rPr>
        <w:t>自然资源局、水利局、农业农村局、住建局、应急局、消防救援大队、气象局等部门分工负责</w:t>
      </w:r>
      <w:r>
        <w:rPr>
          <w:rStyle w:val="48"/>
          <w:rFonts w:hint="eastAsia" w:ascii="仿宋_GB2312" w:hAnsi="仿宋_GB2312" w:eastAsia="仿宋_GB2312" w:cs="仿宋_GB2312"/>
          <w:b w:val="0"/>
          <w:bCs w:val="0"/>
          <w:color w:val="auto"/>
          <w:kern w:val="2"/>
          <w:sz w:val="32"/>
          <w:szCs w:val="32"/>
          <w:u w:val="none"/>
          <w:lang w:val="en-US" w:eastAsia="zh-CN" w:bidi="ar-SA"/>
        </w:rPr>
        <w:t>）</w:t>
      </w:r>
    </w:p>
    <w:p w14:paraId="02860CD3">
      <w:pPr>
        <w:widowControl w:val="0"/>
        <w:wordWrap/>
        <w:adjustRightInd/>
        <w:snapToGrid/>
        <w:spacing w:beforeAutospacing="0" w:afterAutospacing="0" w:line="600" w:lineRule="exact"/>
        <w:ind w:firstLine="643" w:firstLineChars="200"/>
        <w:jc w:val="both"/>
        <w:textAlignment w:val="auto"/>
        <w:rPr>
          <w:rFonts w:hint="eastAsia" w:ascii="仿宋_GB2312" w:hAnsi="楷体_GB2312" w:eastAsia="仿宋_GB2312" w:cs="楷体_GB2312"/>
          <w:color w:val="000000"/>
          <w:kern w:val="2"/>
          <w:sz w:val="32"/>
          <w:szCs w:val="32"/>
          <w:u w:val="none"/>
          <w:lang w:val="en-US" w:eastAsia="zh-CN" w:bidi="ar-SA"/>
        </w:rPr>
      </w:pPr>
      <w:bookmarkStart w:id="20" w:name="_Toc5208"/>
      <w:bookmarkStart w:id="21" w:name="_Toc12595"/>
      <w:bookmarkStart w:id="22" w:name="_Toc7749"/>
      <w:r>
        <w:rPr>
          <w:rStyle w:val="48"/>
          <w:rFonts w:hint="eastAsia" w:ascii="楷体_GB2312" w:hAnsi="楷体_GB2312" w:eastAsia="楷体_GB2312" w:cs="楷体_GB2312"/>
          <w:b/>
          <w:bCs/>
          <w:color w:val="000000"/>
          <w:kern w:val="2"/>
          <w:sz w:val="32"/>
          <w:szCs w:val="32"/>
          <w:u w:val="none"/>
          <w:lang w:val="en-US" w:eastAsia="zh-CN" w:bidi="ar-SA"/>
        </w:rPr>
        <w:t>（五）</w:t>
      </w:r>
      <w:r>
        <w:rPr>
          <w:rFonts w:hint="eastAsia" w:ascii="楷体" w:hAnsi="楷体" w:eastAsia="楷体" w:cs="楷体"/>
          <w:b/>
          <w:bCs/>
          <w:sz w:val="32"/>
          <w:szCs w:val="32"/>
          <w:lang w:val="en-US" w:eastAsia="zh-CN"/>
        </w:rPr>
        <w:t>完善工作机制</w:t>
      </w:r>
      <w:r>
        <w:rPr>
          <w:rStyle w:val="48"/>
          <w:rFonts w:hint="eastAsia" w:ascii="楷体_GB2312" w:hAnsi="楷体_GB2312" w:eastAsia="楷体_GB2312" w:cs="楷体_GB2312"/>
          <w:b/>
          <w:bCs/>
          <w:color w:val="000000"/>
          <w:kern w:val="2"/>
          <w:sz w:val="32"/>
          <w:szCs w:val="32"/>
          <w:u w:val="none"/>
          <w:lang w:val="en-US" w:eastAsia="zh-CN" w:bidi="ar-SA"/>
        </w:rPr>
        <w:t>。</w:t>
      </w:r>
      <w:bookmarkEnd w:id="20"/>
      <w:bookmarkEnd w:id="21"/>
      <w:bookmarkEnd w:id="22"/>
      <w:r>
        <w:rPr>
          <w:rFonts w:hint="eastAsia" w:ascii="仿宋_GB2312" w:hAnsi="楷体_GB2312" w:eastAsia="仿宋_GB2312" w:cs="楷体_GB2312"/>
          <w:color w:val="000000"/>
          <w:kern w:val="2"/>
          <w:sz w:val="32"/>
          <w:szCs w:val="32"/>
          <w:u w:val="none"/>
          <w:lang w:val="en-US" w:eastAsia="zh-CN" w:bidi="ar-SA"/>
        </w:rPr>
        <w:t>认真落实《国务院办公厅关于严格规范涉企行政检查的意见》，出台规范安全生产领域入企活动办法，严控入企检查人员数量，限定入企次数，设定企业安静期，严格规范入企监督检查、考核巡查、指导帮扶、调查研究等活动。建立健全审批与监管部门联动、安全生产责任保险事故预防、自然灾害巨灾保险、</w:t>
      </w:r>
      <w:r>
        <w:rPr>
          <w:rFonts w:hint="eastAsia" w:ascii="仿宋_GB2312" w:hAnsi="楷体_GB2312" w:eastAsia="仿宋_GB2312" w:cs="楷体_GB2312"/>
          <w:color w:val="000000"/>
          <w:kern w:val="2"/>
          <w:sz w:val="32"/>
          <w:szCs w:val="32"/>
          <w:u w:val="none"/>
          <w:lang w:val="en-US" w:bidi="ar-SA"/>
        </w:rPr>
        <w:t>跨部门灾害防范应对</w:t>
      </w:r>
      <w:r>
        <w:rPr>
          <w:rFonts w:hint="eastAsia" w:ascii="仿宋_GB2312" w:hAnsi="楷体_GB2312" w:eastAsia="仿宋_GB2312" w:cs="楷体_GB2312"/>
          <w:color w:val="000000"/>
          <w:kern w:val="2"/>
          <w:sz w:val="32"/>
          <w:szCs w:val="32"/>
          <w:u w:val="none"/>
          <w:lang w:val="en-US" w:eastAsia="zh-CN" w:bidi="ar-SA"/>
        </w:rPr>
        <w:t>等</w:t>
      </w:r>
      <w:r>
        <w:rPr>
          <w:rFonts w:hint="eastAsia" w:ascii="仿宋_GB2312" w:hAnsi="楷体_GB2312" w:eastAsia="仿宋_GB2312" w:cs="楷体_GB2312"/>
          <w:color w:val="000000"/>
          <w:kern w:val="2"/>
          <w:sz w:val="32"/>
          <w:szCs w:val="32"/>
          <w:u w:val="none"/>
          <w:lang w:val="en-US" w:bidi="ar-SA"/>
        </w:rPr>
        <w:t>协调机制</w:t>
      </w:r>
      <w:r>
        <w:rPr>
          <w:rFonts w:hint="eastAsia" w:ascii="仿宋_GB2312" w:hAnsi="楷体_GB2312" w:eastAsia="仿宋_GB2312" w:cs="楷体_GB2312"/>
          <w:color w:val="000000"/>
          <w:kern w:val="2"/>
          <w:sz w:val="32"/>
          <w:szCs w:val="32"/>
          <w:u w:val="none"/>
          <w:lang w:val="en-US" w:eastAsia="zh-CN" w:bidi="ar-SA"/>
        </w:rPr>
        <w:t>，完善“挂牌督办、警示约谈、督导巡查、调度通报”等重点工作推进机制。修订完善安全生产、防灾减灾救灾议事协调机构工作规则。</w:t>
      </w:r>
      <w:r>
        <w:rPr>
          <w:rFonts w:hint="eastAsia" w:ascii="仿宋_GB2312" w:hAnsi="仿宋_GB2312" w:eastAsia="仿宋_GB2312" w:cs="仿宋_GB2312"/>
          <w:sz w:val="32"/>
          <w:szCs w:val="32"/>
          <w:highlight w:val="none"/>
          <w:lang w:val="en-US" w:eastAsia="zh-CN"/>
        </w:rPr>
        <w:t>建立完善安全生产风险排查整治和责任倒查机制，大力推行“2+3+N”（两个转变、三道防线、N项基础）及</w:t>
      </w:r>
      <w:r>
        <w:rPr>
          <w:rFonts w:hint="eastAsia" w:ascii="仿宋_GB2312" w:hAnsi="仿宋_GB2312" w:eastAsia="仿宋_GB2312" w:cs="仿宋_GB2312"/>
          <w:color w:val="C00000"/>
          <w:sz w:val="32"/>
          <w:szCs w:val="32"/>
          <w:highlight w:val="none"/>
          <w:lang w:val="en-US" w:eastAsia="zh-CN"/>
        </w:rPr>
        <w:t>安全生产“六九九六”工</w:t>
      </w:r>
      <w:r>
        <w:rPr>
          <w:rFonts w:hint="eastAsia" w:ascii="仿宋_GB2312" w:hAnsi="仿宋_GB2312" w:eastAsia="仿宋_GB2312" w:cs="仿宋_GB2312"/>
          <w:sz w:val="32"/>
          <w:szCs w:val="32"/>
          <w:highlight w:val="none"/>
          <w:lang w:val="en-US" w:eastAsia="zh-CN"/>
        </w:rPr>
        <w:t>作机制，切实防范化解重大风险，动态消除重大事故隐患，防范遏制重大以上事故。</w:t>
      </w:r>
      <w:r>
        <w:rPr>
          <w:rFonts w:hint="eastAsia" w:ascii="仿宋_GB2312" w:hAnsi="楷体_GB2312" w:eastAsia="仿宋_GB2312" w:cs="楷体_GB2312"/>
          <w:color w:val="000000"/>
          <w:kern w:val="2"/>
          <w:sz w:val="32"/>
          <w:szCs w:val="32"/>
          <w:u w:val="none"/>
          <w:lang w:val="en-US" w:eastAsia="zh-CN" w:bidi="ar-SA"/>
        </w:rPr>
        <w:t>（区安委会有关成员单位负责）</w:t>
      </w:r>
    </w:p>
    <w:p w14:paraId="3CFB55B1">
      <w:pPr>
        <w:widowControl w:val="0"/>
        <w:wordWrap/>
        <w:adjustRightInd/>
        <w:snapToGrid/>
        <w:spacing w:line="576" w:lineRule="exact"/>
        <w:ind w:firstLine="640" w:firstLineChars="200"/>
        <w:textAlignment w:val="auto"/>
        <w:rPr>
          <w:rFonts w:hint="default" w:ascii="黑体" w:hAnsi="黑体" w:eastAsia="黑体" w:cs="黑体"/>
          <w:b w:val="0"/>
          <w:bCs w:val="0"/>
          <w:color w:val="000000"/>
          <w:sz w:val="32"/>
          <w:szCs w:val="32"/>
          <w:u w:val="none"/>
          <w:lang w:val="en-US" w:eastAsia="zh-CN"/>
        </w:rPr>
      </w:pPr>
      <w:bookmarkStart w:id="23" w:name="_Toc28669"/>
      <w:bookmarkStart w:id="24" w:name="_Toc10374"/>
      <w:bookmarkStart w:id="25" w:name="_Toc16728"/>
      <w:r>
        <w:rPr>
          <w:rFonts w:hint="eastAsia" w:ascii="黑体" w:hAnsi="黑体" w:eastAsia="黑体" w:cs="黑体"/>
          <w:b w:val="0"/>
          <w:bCs w:val="0"/>
          <w:color w:val="000000"/>
          <w:sz w:val="32"/>
          <w:szCs w:val="32"/>
          <w:u w:val="none"/>
          <w:lang w:val="en-US" w:eastAsia="zh-CN"/>
        </w:rPr>
        <w:t>三、</w:t>
      </w:r>
      <w:bookmarkEnd w:id="23"/>
      <w:bookmarkEnd w:id="24"/>
      <w:bookmarkEnd w:id="25"/>
      <w:r>
        <w:rPr>
          <w:rFonts w:hint="eastAsia" w:ascii="黑体" w:hAnsi="黑体" w:eastAsia="黑体" w:cs="黑体"/>
          <w:sz w:val="32"/>
          <w:szCs w:val="32"/>
          <w:lang w:val="en-US" w:eastAsia="zh-CN"/>
        </w:rPr>
        <w:t>完善责任体系，全过程压实责任链条</w:t>
      </w:r>
    </w:p>
    <w:p w14:paraId="4A0F7270">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bookmarkStart w:id="26" w:name="_Toc28448"/>
      <w:bookmarkStart w:id="27" w:name="_Toc15801"/>
      <w:bookmarkStart w:id="28" w:name="_Toc11450"/>
      <w:bookmarkStart w:id="29" w:name="_Toc13075"/>
      <w:r>
        <w:rPr>
          <w:rStyle w:val="48"/>
          <w:rFonts w:hint="eastAsia" w:ascii="楷体_GB2312" w:hAnsi="楷体_GB2312" w:eastAsia="楷体_GB2312" w:cs="楷体_GB2312"/>
          <w:b/>
          <w:bCs/>
          <w:color w:val="000000"/>
          <w:kern w:val="2"/>
          <w:sz w:val="32"/>
          <w:szCs w:val="32"/>
          <w:u w:val="none"/>
          <w:lang w:val="en-US" w:bidi="ar-SA"/>
        </w:rPr>
        <w:t>（</w:t>
      </w:r>
      <w:r>
        <w:rPr>
          <w:rStyle w:val="48"/>
          <w:rFonts w:hint="eastAsia" w:ascii="楷体_GB2312" w:hAnsi="楷体_GB2312" w:eastAsia="楷体_GB2312" w:cs="楷体_GB2312"/>
          <w:b/>
          <w:bCs/>
          <w:color w:val="000000"/>
          <w:kern w:val="2"/>
          <w:sz w:val="32"/>
          <w:szCs w:val="32"/>
          <w:u w:val="none"/>
          <w:lang w:val="en-US" w:eastAsia="zh-CN" w:bidi="ar-SA"/>
        </w:rPr>
        <w:t>六</w:t>
      </w:r>
      <w:r>
        <w:rPr>
          <w:rStyle w:val="48"/>
          <w:rFonts w:hint="eastAsia" w:ascii="楷体_GB2312" w:hAnsi="楷体_GB2312" w:eastAsia="楷体_GB2312" w:cs="楷体_GB2312"/>
          <w:b/>
          <w:bCs/>
          <w:color w:val="000000"/>
          <w:kern w:val="2"/>
          <w:sz w:val="32"/>
          <w:szCs w:val="32"/>
          <w:u w:val="none"/>
          <w:lang w:val="en-US" w:bidi="ar-SA"/>
        </w:rPr>
        <w:t>）</w:t>
      </w:r>
      <w:r>
        <w:rPr>
          <w:rFonts w:hint="eastAsia" w:ascii="楷体" w:hAnsi="楷体" w:eastAsia="楷体" w:cs="楷体"/>
          <w:b/>
          <w:bCs/>
          <w:sz w:val="32"/>
          <w:szCs w:val="32"/>
          <w:lang w:val="en-US" w:eastAsia="zh-CN"/>
        </w:rPr>
        <w:t>突出地方党政责任</w:t>
      </w:r>
      <w:r>
        <w:rPr>
          <w:rStyle w:val="48"/>
          <w:rFonts w:hint="eastAsia" w:ascii="楷体_GB2312" w:hAnsi="楷体_GB2312" w:eastAsia="楷体_GB2312" w:cs="楷体_GB2312"/>
          <w:b/>
          <w:bCs/>
          <w:color w:val="000000"/>
          <w:kern w:val="2"/>
          <w:sz w:val="32"/>
          <w:szCs w:val="32"/>
          <w:u w:val="none"/>
          <w:lang w:val="en-US" w:bidi="ar-SA"/>
        </w:rPr>
        <w:t>。</w:t>
      </w:r>
      <w:bookmarkEnd w:id="26"/>
      <w:bookmarkEnd w:id="27"/>
      <w:bookmarkEnd w:id="28"/>
      <w:bookmarkEnd w:id="29"/>
      <w:r>
        <w:rPr>
          <w:rFonts w:hint="eastAsia" w:ascii="仿宋_GB2312" w:hAnsi="楷体_GB2312" w:eastAsia="仿宋_GB2312" w:cs="楷体_GB2312"/>
          <w:color w:val="000000"/>
          <w:kern w:val="2"/>
          <w:sz w:val="32"/>
          <w:szCs w:val="32"/>
          <w:u w:val="none"/>
          <w:lang w:val="en-US" w:eastAsia="zh-CN" w:bidi="ar-SA"/>
        </w:rPr>
        <w:t>坚持党政同责、一岗双责、齐抓共管、失职追责，严格贯彻落实《地方党政领导干部安全生产责任制规定》及实施细则，动态编制并落实党政领导干部安全生产职责清单和年度重点工作任务清单，将履行安全生产工作职责情况列入党委、政府领导班子及其成员年度考核述职内容。每季度召开专题会议，分管各行业政府副职向政府主要领导汇报履职情况。推进安委办实体化。推动矿山转型升级。各级党政领导干部要投入更大精力抓安全生产，定期深入一线检查指导。区党委政府建立安全生产办实事、解难题清单，针对安全监管部门领导班子、干部队伍、监管职责、执法力量、经费保障、执法装备、信息化建设等事项，至少研究解决10项具体问题。要发挥专家智库、专业机构等作用，不断完善安全生产工作机制，提升党政领导干部履职能力。（区安委会有关成员单位负责）</w:t>
      </w:r>
    </w:p>
    <w:p w14:paraId="6754269C">
      <w:pPr>
        <w:pStyle w:val="20"/>
        <w:widowControl w:val="0"/>
        <w:numPr>
          <w:ilvl w:val="0"/>
          <w:numId w:val="0"/>
        </w:numPr>
        <w:wordWrap/>
        <w:adjustRightInd/>
        <w:snapToGrid/>
        <w:spacing w:line="600" w:lineRule="exact"/>
        <w:ind w:firstLine="643" w:firstLineChars="200"/>
        <w:textAlignment w:val="auto"/>
        <w:rPr>
          <w:rFonts w:hint="default" w:ascii="仿宋_GB2312" w:hAnsi="楷体_GB2312" w:eastAsia="仿宋_GB2312" w:cs="楷体_GB2312"/>
          <w:color w:val="000000"/>
          <w:kern w:val="2"/>
          <w:sz w:val="32"/>
          <w:szCs w:val="32"/>
          <w:u w:val="none"/>
          <w:lang w:val="en-US" w:eastAsia="zh-CN" w:bidi="ar-SA"/>
        </w:rPr>
      </w:pPr>
      <w:bookmarkStart w:id="30" w:name="_Toc31180"/>
      <w:bookmarkStart w:id="31" w:name="_Toc23884"/>
      <w:bookmarkStart w:id="32" w:name="_Toc29853"/>
      <w:bookmarkStart w:id="33" w:name="_Toc29743"/>
      <w:r>
        <w:rPr>
          <w:rStyle w:val="48"/>
          <w:rFonts w:hint="eastAsia" w:ascii="楷体_GB2312" w:hAnsi="楷体_GB2312" w:eastAsia="楷体_GB2312" w:cs="楷体_GB2312"/>
          <w:b/>
          <w:bCs/>
          <w:color w:val="000000"/>
          <w:kern w:val="2"/>
          <w:sz w:val="32"/>
          <w:szCs w:val="32"/>
          <w:u w:val="none"/>
          <w:lang w:val="en-US" w:bidi="ar-SA"/>
        </w:rPr>
        <w:t>（</w:t>
      </w:r>
      <w:r>
        <w:rPr>
          <w:rStyle w:val="48"/>
          <w:rFonts w:hint="eastAsia" w:ascii="楷体_GB2312" w:hAnsi="楷体_GB2312" w:eastAsia="楷体_GB2312" w:cs="楷体_GB2312"/>
          <w:b/>
          <w:bCs/>
          <w:color w:val="000000"/>
          <w:kern w:val="2"/>
          <w:sz w:val="32"/>
          <w:szCs w:val="32"/>
          <w:u w:val="none"/>
          <w:lang w:val="en-US" w:eastAsia="zh-CN" w:bidi="ar-SA"/>
        </w:rPr>
        <w:t>七</w:t>
      </w:r>
      <w:r>
        <w:rPr>
          <w:rStyle w:val="48"/>
          <w:rFonts w:hint="eastAsia" w:ascii="楷体_GB2312" w:hAnsi="楷体_GB2312" w:eastAsia="楷体_GB2312" w:cs="楷体_GB2312"/>
          <w:b/>
          <w:bCs/>
          <w:color w:val="000000"/>
          <w:kern w:val="2"/>
          <w:sz w:val="32"/>
          <w:szCs w:val="32"/>
          <w:u w:val="none"/>
          <w:lang w:val="en-US" w:bidi="ar-SA"/>
        </w:rPr>
        <w:t>）</w:t>
      </w:r>
      <w:r>
        <w:rPr>
          <w:rStyle w:val="48"/>
          <w:rFonts w:hint="eastAsia" w:ascii="楷体_GB2312" w:hAnsi="楷体_GB2312" w:eastAsia="楷体_GB2312" w:cs="楷体_GB2312"/>
          <w:b/>
          <w:bCs/>
          <w:color w:val="000000"/>
          <w:kern w:val="2"/>
          <w:sz w:val="32"/>
          <w:szCs w:val="32"/>
          <w:u w:val="none"/>
          <w:lang w:val="en-US" w:eastAsia="zh-CN" w:bidi="ar-SA"/>
        </w:rPr>
        <w:t>落实部门监管责任</w:t>
      </w:r>
      <w:r>
        <w:rPr>
          <w:rStyle w:val="48"/>
          <w:rFonts w:hint="eastAsia" w:ascii="楷体_GB2312" w:hAnsi="楷体_GB2312" w:eastAsia="楷体_GB2312" w:cs="楷体_GB2312"/>
          <w:b/>
          <w:bCs/>
          <w:color w:val="000000"/>
          <w:kern w:val="2"/>
          <w:sz w:val="32"/>
          <w:szCs w:val="32"/>
          <w:u w:val="none"/>
          <w:lang w:val="en-US" w:bidi="ar-SA"/>
        </w:rPr>
        <w:t>。</w:t>
      </w:r>
      <w:bookmarkEnd w:id="30"/>
      <w:bookmarkEnd w:id="31"/>
      <w:bookmarkEnd w:id="32"/>
      <w:bookmarkEnd w:id="33"/>
      <w:r>
        <w:rPr>
          <w:rFonts w:hint="eastAsia" w:ascii="仿宋_GB2312" w:hAnsi="楷体_GB2312" w:eastAsia="仿宋_GB2312" w:cs="楷体_GB2312"/>
          <w:color w:val="000000"/>
          <w:kern w:val="2"/>
          <w:sz w:val="32"/>
          <w:szCs w:val="32"/>
          <w:u w:val="none"/>
          <w:lang w:val="en-US" w:eastAsia="zh-CN" w:bidi="ar-SA"/>
        </w:rPr>
        <w:t>动态完善监管部门安全生产权责清单。修</w:t>
      </w:r>
      <w:r>
        <w:rPr>
          <w:rFonts w:hint="eastAsia" w:ascii="仿宋_GB2312" w:hAnsi="楷体_GB2312" w:eastAsia="仿宋_GB2312" w:cs="楷体_GB2312"/>
          <w:sz w:val="32"/>
          <w:szCs w:val="32"/>
        </w:rPr>
        <w:t>订完善并</w:t>
      </w:r>
      <w:r>
        <w:rPr>
          <w:rFonts w:hint="eastAsia" w:ascii="仿宋_GB2312" w:hAnsi="楷体_GB2312" w:eastAsia="仿宋_GB2312" w:cs="楷体_GB2312"/>
          <w:color w:val="000000"/>
          <w:kern w:val="2"/>
          <w:sz w:val="32"/>
          <w:szCs w:val="32"/>
          <w:u w:val="none"/>
          <w:lang w:val="en-US" w:eastAsia="zh-CN" w:bidi="ar-SA"/>
        </w:rPr>
        <w:t>认真贯彻</w:t>
      </w:r>
      <w:r>
        <w:rPr>
          <w:rFonts w:hint="eastAsia" w:ascii="仿宋_GB2312" w:hAnsi="楷体_GB2312" w:eastAsia="仿宋_GB2312" w:cs="楷体_GB2312"/>
          <w:sz w:val="32"/>
          <w:szCs w:val="32"/>
        </w:rPr>
        <w:t>落实《长治市</w:t>
      </w:r>
      <w:r>
        <w:rPr>
          <w:rFonts w:hint="eastAsia" w:ascii="仿宋_GB2312" w:hAnsi="楷体_GB2312" w:eastAsia="仿宋_GB2312" w:cs="楷体_GB2312"/>
          <w:sz w:val="32"/>
          <w:szCs w:val="32"/>
          <w:lang w:eastAsia="zh-CN"/>
        </w:rPr>
        <w:t>上党区</w:t>
      </w:r>
      <w:r>
        <w:rPr>
          <w:rFonts w:hint="eastAsia" w:ascii="仿宋_GB2312" w:hAnsi="楷体_GB2312" w:eastAsia="仿宋_GB2312" w:cs="楷体_GB2312"/>
          <w:sz w:val="32"/>
          <w:szCs w:val="32"/>
        </w:rPr>
        <w:t>管行业必须管安全、管业务必须管安全、管生产经营必须管安全实施办法》，</w:t>
      </w:r>
      <w:r>
        <w:rPr>
          <w:rFonts w:hint="eastAsia" w:ascii="仿宋_GB2312" w:hAnsi="楷体_GB2312" w:eastAsia="仿宋_GB2312" w:cs="楷体_GB2312"/>
          <w:color w:val="000000"/>
          <w:kern w:val="2"/>
          <w:sz w:val="32"/>
          <w:szCs w:val="32"/>
          <w:u w:val="none"/>
          <w:lang w:val="en-US" w:eastAsia="zh-CN" w:bidi="ar-SA"/>
        </w:rPr>
        <w:t>打通政策措施落地的“最后一公里”。</w:t>
      </w:r>
      <w:r>
        <w:rPr>
          <w:rFonts w:hint="eastAsia" w:ascii="仿宋_GB2312" w:hAnsi="楷体_GB2312" w:eastAsia="仿宋_GB2312" w:cs="楷体_GB2312"/>
          <w:sz w:val="32"/>
          <w:szCs w:val="32"/>
        </w:rPr>
        <w:t>全面压实监管责任</w:t>
      </w:r>
      <w:r>
        <w:rPr>
          <w:rFonts w:hint="eastAsia" w:ascii="仿宋_GB2312" w:hAnsi="楷体_GB2312" w:eastAsia="仿宋_GB2312" w:cs="楷体_GB2312"/>
          <w:sz w:val="32"/>
          <w:szCs w:val="32"/>
          <w:lang w:val="en-US" w:eastAsia="zh-CN"/>
        </w:rPr>
        <w:t>。</w:t>
      </w:r>
      <w:r>
        <w:rPr>
          <w:rFonts w:hint="eastAsia" w:ascii="仿宋_GB2312" w:hAnsi="楷体_GB2312" w:eastAsia="仿宋_GB2312" w:cs="楷体_GB2312"/>
          <w:sz w:val="32"/>
          <w:szCs w:val="32"/>
        </w:rPr>
        <w:t>坚持实施安全生产挂牌责任制。</w:t>
      </w:r>
      <w:r>
        <w:rPr>
          <w:rFonts w:hint="eastAsia" w:ascii="仿宋_GB2312" w:hAnsi="楷体_GB2312" w:eastAsia="仿宋_GB2312" w:cs="楷体_GB2312"/>
          <w:color w:val="000000"/>
          <w:kern w:val="2"/>
          <w:sz w:val="32"/>
          <w:szCs w:val="32"/>
          <w:u w:val="none"/>
          <w:lang w:val="en-US" w:eastAsia="zh-CN" w:bidi="ar-SA"/>
        </w:rPr>
        <w:t>结合实际，进一步明确仓储物流、校外培训（托管）机构、平台经济、特种设备目录外游乐设施等新业态及职责交叉领域监管责任。发挥各安全生产专业委员会作用，厘清“一件事”全链条、各环节安全监管责任。各有关部门制定安全生产工作要点和治本攻坚年度重点工作任务清单，负有安全生产监管职责的部门制定监督检查计划。推进精准执法，加强部门联合执法，做到“执一次法、查多项事”。（安委会成员单位负责）</w:t>
      </w:r>
    </w:p>
    <w:p w14:paraId="3E04F142">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sz w:val="32"/>
          <w:szCs w:val="32"/>
          <w:u w:val="none"/>
          <w:lang w:val="en-US"/>
        </w:rPr>
      </w:pPr>
      <w:bookmarkStart w:id="34" w:name="_Toc28700"/>
      <w:bookmarkStart w:id="35" w:name="_Toc19435"/>
      <w:bookmarkStart w:id="36" w:name="_Toc9473"/>
      <w:bookmarkStart w:id="37" w:name="_Toc24826"/>
      <w:r>
        <w:rPr>
          <w:rStyle w:val="48"/>
          <w:rFonts w:hint="eastAsia" w:ascii="楷体_GB2312" w:hAnsi="楷体_GB2312" w:eastAsia="楷体_GB2312" w:cs="楷体_GB2312"/>
          <w:b/>
          <w:bCs/>
          <w:color w:val="000000"/>
          <w:kern w:val="2"/>
          <w:sz w:val="32"/>
          <w:szCs w:val="32"/>
          <w:u w:val="none"/>
          <w:lang w:val="en-US" w:bidi="ar-SA"/>
        </w:rPr>
        <w:t>（</w:t>
      </w:r>
      <w:r>
        <w:rPr>
          <w:rStyle w:val="48"/>
          <w:rFonts w:hint="eastAsia" w:ascii="楷体_GB2312" w:hAnsi="楷体_GB2312" w:eastAsia="楷体_GB2312" w:cs="楷体_GB2312"/>
          <w:b/>
          <w:bCs/>
          <w:color w:val="000000"/>
          <w:kern w:val="2"/>
          <w:sz w:val="32"/>
          <w:szCs w:val="32"/>
          <w:u w:val="none"/>
          <w:lang w:val="en-US" w:eastAsia="zh-CN" w:bidi="ar-SA"/>
        </w:rPr>
        <w:t>八</w:t>
      </w:r>
      <w:r>
        <w:rPr>
          <w:rStyle w:val="48"/>
          <w:rFonts w:hint="eastAsia" w:ascii="楷体_GB2312" w:hAnsi="楷体_GB2312" w:eastAsia="楷体_GB2312" w:cs="楷体_GB2312"/>
          <w:b/>
          <w:bCs/>
          <w:color w:val="000000"/>
          <w:kern w:val="2"/>
          <w:sz w:val="32"/>
          <w:szCs w:val="32"/>
          <w:u w:val="none"/>
          <w:lang w:val="en-US" w:bidi="ar-SA"/>
        </w:rPr>
        <w:t>）</w:t>
      </w:r>
      <w:r>
        <w:rPr>
          <w:rStyle w:val="48"/>
          <w:rFonts w:hint="eastAsia" w:ascii="楷体_GB2312" w:hAnsi="楷体_GB2312" w:eastAsia="楷体_GB2312" w:cs="楷体_GB2312"/>
          <w:b/>
          <w:bCs/>
          <w:color w:val="000000"/>
          <w:kern w:val="2"/>
          <w:sz w:val="32"/>
          <w:szCs w:val="32"/>
          <w:u w:val="none"/>
          <w:lang w:val="en-US" w:eastAsia="zh-CN" w:bidi="ar-SA"/>
        </w:rPr>
        <w:t>压实企业主体责任</w:t>
      </w:r>
      <w:r>
        <w:rPr>
          <w:rStyle w:val="48"/>
          <w:rFonts w:hint="eastAsia" w:ascii="楷体_GB2312" w:hAnsi="楷体_GB2312" w:eastAsia="楷体_GB2312" w:cs="楷体_GB2312"/>
          <w:b/>
          <w:bCs/>
          <w:color w:val="000000"/>
          <w:kern w:val="2"/>
          <w:sz w:val="32"/>
          <w:szCs w:val="32"/>
          <w:u w:val="none"/>
          <w:lang w:val="en-US" w:bidi="ar-SA"/>
        </w:rPr>
        <w:t>。</w:t>
      </w:r>
      <w:bookmarkEnd w:id="34"/>
      <w:bookmarkEnd w:id="35"/>
      <w:bookmarkEnd w:id="36"/>
      <w:bookmarkEnd w:id="37"/>
      <w:r>
        <w:rPr>
          <w:rFonts w:hint="eastAsia" w:ascii="仿宋_GB2312" w:hAnsi="楷体_GB2312" w:eastAsia="仿宋_GB2312" w:cs="楷体_GB2312"/>
          <w:color w:val="000000"/>
          <w:sz w:val="32"/>
          <w:szCs w:val="32"/>
          <w:u w:val="none"/>
          <w:lang w:val="en-US" w:eastAsia="zh-CN"/>
        </w:rPr>
        <w:t>坚持重点行业领域企业主要负责人履职尽责承诺制度，严格落实生产经营单位主要负责人安全生产责任制规定的11项职责，</w:t>
      </w:r>
      <w:r>
        <w:rPr>
          <w:rFonts w:hint="eastAsia" w:ascii="仿宋_GB2312" w:hAnsi="楷体_GB2312" w:eastAsia="仿宋_GB2312" w:cs="楷体_GB2312"/>
          <w:sz w:val="32"/>
          <w:szCs w:val="32"/>
        </w:rPr>
        <w:t>制定并落实企业分管负责人安全生产职责清单。依法设置安全管理机构、配备安全总监、专兼职安全管理人员和注册安全工程师。</w:t>
      </w:r>
      <w:r>
        <w:rPr>
          <w:rFonts w:hint="eastAsia" w:ascii="仿宋_GB2312" w:hAnsi="楷体_GB2312" w:eastAsia="仿宋_GB2312" w:cs="楷体_GB2312"/>
          <w:color w:val="000000"/>
          <w:sz w:val="32"/>
          <w:szCs w:val="32"/>
          <w:u w:val="none"/>
          <w:lang w:val="en-US" w:eastAsia="zh-CN"/>
        </w:rPr>
        <w:t>加强安全管理队伍建设，让能力强、业务精、作风实的硬干部管安全，让管好安全的干部受重用</w:t>
      </w:r>
      <w:r>
        <w:rPr>
          <w:rFonts w:hint="eastAsia" w:ascii="仿宋_GB2312" w:hAnsi="楷体_GB2312" w:eastAsia="仿宋_GB2312" w:cs="楷体_GB2312"/>
          <w:sz w:val="32"/>
          <w:szCs w:val="32"/>
          <w:lang w:eastAsia="zh-CN"/>
        </w:rPr>
        <w:t>。</w:t>
      </w:r>
      <w:r>
        <w:rPr>
          <w:rFonts w:hint="eastAsia" w:ascii="仿宋_GB2312" w:hAnsi="仿宋_GB2312" w:eastAsia="仿宋_GB2312" w:cs="仿宋_GB2312"/>
          <w:color w:val="000000"/>
          <w:sz w:val="32"/>
          <w:szCs w:val="32"/>
          <w:u w:val="none"/>
          <w:lang w:val="en-US" w:eastAsia="zh-CN"/>
        </w:rPr>
        <w:t>健全企业内部安全风险隐患报告制度，对报告事故隐患或者举报安全生产违法违规行为的有功人员予以重奖。强化行业自律，因地制宜采取专家入企指导帮扶、企业结对互学互助和引入专业性行业协会、安全评价机构、保险机构等第三方机构提供社会化服务等方式，提高企业风险防范和隐患排查质效。</w:t>
      </w:r>
      <w:r>
        <w:rPr>
          <w:rFonts w:hint="eastAsia" w:ascii="仿宋_GB2312" w:hAnsi="楷体_GB2312" w:eastAsia="仿宋_GB2312" w:cs="楷体_GB2312"/>
          <w:sz w:val="32"/>
          <w:szCs w:val="32"/>
        </w:rPr>
        <w:t>足额提取使用安全生产费用</w:t>
      </w:r>
      <w:r>
        <w:rPr>
          <w:rFonts w:hint="eastAsia" w:ascii="仿宋_GB2312" w:hAnsi="楷体_GB2312" w:eastAsia="仿宋_GB2312" w:cs="楷体_GB2312"/>
          <w:sz w:val="32"/>
          <w:szCs w:val="32"/>
          <w:lang w:eastAsia="zh-CN"/>
        </w:rPr>
        <w:t>，</w:t>
      </w:r>
      <w:r>
        <w:rPr>
          <w:rFonts w:hint="eastAsia" w:ascii="仿宋_GB2312" w:hAnsi="仿宋_GB2312" w:eastAsia="仿宋_GB2312" w:cs="仿宋_GB2312"/>
          <w:color w:val="000000"/>
          <w:sz w:val="32"/>
          <w:szCs w:val="32"/>
          <w:u w:val="none"/>
          <w:lang w:val="en-US" w:eastAsia="zh-CN"/>
        </w:rPr>
        <w:t>主动接受监管部门对安全投入保障情况的检查，加强安全生产标准化和安全文化建设，依法做到安全责任、投入、培训、管理和应急救援“五到位”。</w:t>
      </w:r>
      <w:r>
        <w:rPr>
          <w:rFonts w:hint="eastAsia" w:ascii="仿宋_GB2312" w:hAnsi="楷体_GB2312" w:eastAsia="仿宋_GB2312" w:cs="楷体_GB2312"/>
          <w:sz w:val="32"/>
          <w:szCs w:val="32"/>
        </w:rPr>
        <w:t>矿山企业按照有关规定全面开展“体检式”精查</w:t>
      </w:r>
      <w:r>
        <w:rPr>
          <w:rFonts w:hint="eastAsia" w:ascii="仿宋_GB2312" w:hAnsi="楷体_GB2312" w:eastAsia="仿宋_GB2312" w:cs="楷体_GB2312"/>
          <w:sz w:val="32"/>
          <w:szCs w:val="32"/>
          <w:lang w:eastAsia="zh-CN"/>
        </w:rPr>
        <w:t>及专家会诊</w:t>
      </w:r>
      <w:r>
        <w:rPr>
          <w:rFonts w:hint="eastAsia" w:ascii="仿宋_GB2312" w:hAnsi="楷体_GB2312" w:eastAsia="仿宋_GB2312" w:cs="楷体_GB2312"/>
          <w:sz w:val="32"/>
          <w:szCs w:val="32"/>
        </w:rPr>
        <w:t>，建立健全安全生产管理制度机制，其他高危行业领域企业推广矿山企业做法。</w:t>
      </w:r>
      <w:r>
        <w:rPr>
          <w:rFonts w:hint="eastAsia" w:ascii="仿宋_GB2312" w:hAnsi="仿宋_GB2312" w:eastAsia="仿宋_GB2312" w:cs="仿宋_GB2312"/>
          <w:color w:val="000000"/>
          <w:sz w:val="32"/>
          <w:szCs w:val="32"/>
          <w:u w:val="none"/>
          <w:lang w:val="en-US" w:eastAsia="zh-CN"/>
        </w:rPr>
        <w:t>（</w:t>
      </w:r>
      <w:r>
        <w:rPr>
          <w:rFonts w:hint="eastAsia" w:ascii="仿宋_GB2312" w:hAnsi="楷体_GB2312" w:eastAsia="仿宋_GB2312" w:cs="楷体_GB2312"/>
          <w:color w:val="000000"/>
          <w:kern w:val="2"/>
          <w:sz w:val="32"/>
          <w:szCs w:val="32"/>
          <w:highlight w:val="none"/>
          <w:u w:val="none"/>
          <w:lang w:val="en-US" w:eastAsia="zh-CN" w:bidi="ar-SA"/>
        </w:rPr>
        <w:t>负有安全生产监管职责的部门督促企业落实</w:t>
      </w:r>
      <w:r>
        <w:rPr>
          <w:rFonts w:hint="eastAsia" w:ascii="仿宋_GB2312" w:hAnsi="仿宋_GB2312" w:eastAsia="仿宋_GB2312" w:cs="仿宋_GB2312"/>
          <w:color w:val="000000"/>
          <w:sz w:val="32"/>
          <w:szCs w:val="32"/>
          <w:u w:val="none"/>
          <w:lang w:val="en-US" w:eastAsia="zh-CN"/>
        </w:rPr>
        <w:t>）</w:t>
      </w:r>
    </w:p>
    <w:p w14:paraId="19DAD1E6">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bookmarkStart w:id="38" w:name="_Toc30024"/>
      <w:bookmarkStart w:id="39" w:name="_Toc28780"/>
      <w:bookmarkStart w:id="40" w:name="_Toc8180"/>
      <w:bookmarkStart w:id="41" w:name="_Toc28402"/>
      <w:r>
        <w:rPr>
          <w:rStyle w:val="48"/>
          <w:rFonts w:hint="eastAsia" w:ascii="楷体_GB2312" w:hAnsi="楷体_GB2312" w:eastAsia="楷体_GB2312" w:cs="楷体_GB2312"/>
          <w:b/>
          <w:bCs/>
          <w:color w:val="000000"/>
          <w:sz w:val="32"/>
          <w:szCs w:val="32"/>
          <w:u w:val="none"/>
          <w:lang w:val="en-US"/>
        </w:rPr>
        <w:t>（</w:t>
      </w:r>
      <w:r>
        <w:rPr>
          <w:rStyle w:val="48"/>
          <w:rFonts w:hint="eastAsia" w:ascii="楷体_GB2312" w:hAnsi="楷体_GB2312" w:eastAsia="楷体_GB2312" w:cs="楷体_GB2312"/>
          <w:b/>
          <w:bCs/>
          <w:color w:val="000000"/>
          <w:sz w:val="32"/>
          <w:szCs w:val="32"/>
          <w:u w:val="none"/>
          <w:lang w:val="en-US" w:eastAsia="zh-CN"/>
        </w:rPr>
        <w:t>九</w:t>
      </w:r>
      <w:r>
        <w:rPr>
          <w:rStyle w:val="48"/>
          <w:rFonts w:hint="eastAsia" w:ascii="楷体_GB2312" w:hAnsi="楷体_GB2312" w:eastAsia="楷体_GB2312" w:cs="楷体_GB2312"/>
          <w:b/>
          <w:bCs/>
          <w:color w:val="000000"/>
          <w:sz w:val="32"/>
          <w:szCs w:val="32"/>
          <w:u w:val="none"/>
          <w:lang w:val="en-US"/>
        </w:rPr>
        <w:t>）</w:t>
      </w:r>
      <w:bookmarkEnd w:id="38"/>
      <w:r>
        <w:rPr>
          <w:rStyle w:val="48"/>
          <w:rFonts w:hint="eastAsia" w:ascii="楷体_GB2312" w:hAnsi="楷体_GB2312" w:eastAsia="楷体_GB2312" w:cs="楷体_GB2312"/>
          <w:b/>
          <w:bCs/>
          <w:color w:val="000000"/>
          <w:sz w:val="32"/>
          <w:szCs w:val="32"/>
          <w:u w:val="none"/>
          <w:lang w:val="en-US" w:eastAsia="zh-CN"/>
        </w:rPr>
        <w:t>落实全员安全责任。</w:t>
      </w:r>
      <w:r>
        <w:rPr>
          <w:rFonts w:hint="eastAsia" w:ascii="仿宋_GB2312" w:hAnsi="楷体_GB2312" w:eastAsia="仿宋_GB2312" w:cs="楷体_GB2312"/>
          <w:color w:val="000000"/>
          <w:kern w:val="2"/>
          <w:sz w:val="32"/>
          <w:szCs w:val="32"/>
          <w:u w:val="none"/>
          <w:lang w:val="en-US" w:eastAsia="zh-CN" w:bidi="ar-SA"/>
        </w:rPr>
        <w:t>深入推进《安全生产“六九九六”工作机制》的落实，制定全员</w:t>
      </w:r>
      <w:r>
        <w:rPr>
          <w:rFonts w:hint="eastAsia" w:ascii="仿宋_GB2312" w:hAnsi="楷体_GB2312" w:eastAsia="仿宋_GB2312" w:cs="楷体_GB2312"/>
          <w:color w:val="000000"/>
          <w:kern w:val="2"/>
          <w:sz w:val="32"/>
          <w:szCs w:val="32"/>
          <w:u w:val="none"/>
          <w:lang w:val="en-US" w:bidi="ar-SA"/>
        </w:rPr>
        <w:t>安全生产责任清单</w:t>
      </w:r>
      <w:r>
        <w:rPr>
          <w:rFonts w:hint="eastAsia" w:ascii="仿宋_GB2312" w:hAnsi="楷体_GB2312" w:eastAsia="仿宋_GB2312" w:cs="楷体_GB2312"/>
          <w:color w:val="000000"/>
          <w:kern w:val="2"/>
          <w:sz w:val="32"/>
          <w:szCs w:val="32"/>
          <w:u w:val="none"/>
          <w:lang w:val="en-US" w:eastAsia="zh-CN" w:bidi="ar-SA"/>
        </w:rPr>
        <w:t>和一线作业岗位负面清单，</w:t>
      </w:r>
      <w:r>
        <w:rPr>
          <w:rFonts w:hint="eastAsia" w:ascii="仿宋_GB2312" w:hAnsi="楷体_GB2312" w:eastAsia="仿宋_GB2312" w:cs="楷体_GB2312"/>
          <w:color w:val="000000"/>
          <w:kern w:val="2"/>
          <w:sz w:val="32"/>
          <w:szCs w:val="32"/>
          <w:u w:val="none"/>
          <w:lang w:val="en-US" w:bidi="ar-SA"/>
        </w:rPr>
        <w:t>并严格检查考核</w:t>
      </w:r>
      <w:r>
        <w:rPr>
          <w:rFonts w:hint="eastAsia" w:ascii="仿宋_GB2312" w:hAnsi="楷体_GB2312" w:eastAsia="仿宋_GB2312" w:cs="楷体_GB2312"/>
          <w:color w:val="000000"/>
          <w:kern w:val="2"/>
          <w:sz w:val="32"/>
          <w:szCs w:val="32"/>
          <w:u w:val="none"/>
          <w:lang w:val="en-US" w:eastAsia="zh-CN" w:bidi="ar-SA"/>
        </w:rPr>
        <w:t>。</w:t>
      </w:r>
      <w:r>
        <w:rPr>
          <w:rFonts w:hint="eastAsia" w:ascii="仿宋_GB2312" w:hAnsi="楷体_GB2312" w:eastAsia="仿宋_GB2312" w:cs="楷体_GB2312"/>
          <w:sz w:val="32"/>
          <w:szCs w:val="32"/>
        </w:rPr>
        <w:t>从业人员未经培训合格不得上岗。着眼不伤害自己、不伤害他人、不被</w:t>
      </w:r>
      <w:r>
        <w:rPr>
          <w:rFonts w:hint="eastAsia" w:ascii="仿宋_GB2312" w:hAnsi="楷体_GB2312" w:eastAsia="仿宋_GB2312" w:cs="楷体_GB2312"/>
          <w:sz w:val="32"/>
          <w:szCs w:val="32"/>
          <w:lang w:val="en-US" w:eastAsia="zh-CN"/>
        </w:rPr>
        <w:t>他</w:t>
      </w:r>
      <w:r>
        <w:rPr>
          <w:rFonts w:hint="eastAsia" w:ascii="仿宋_GB2312" w:hAnsi="楷体_GB2312" w:eastAsia="仿宋_GB2312" w:cs="楷体_GB2312"/>
          <w:sz w:val="32"/>
          <w:szCs w:val="32"/>
        </w:rPr>
        <w:t>人伤害、保护他人不受伤害，</w:t>
      </w:r>
      <w:r>
        <w:rPr>
          <w:rFonts w:hint="eastAsia" w:ascii="仿宋_GB2312" w:hAnsi="楷体_GB2312" w:eastAsia="仿宋_GB2312" w:cs="楷体_GB2312"/>
          <w:color w:val="000000"/>
          <w:kern w:val="2"/>
          <w:sz w:val="32"/>
          <w:szCs w:val="32"/>
          <w:u w:val="none"/>
          <w:lang w:val="en-US" w:eastAsia="zh-CN" w:bidi="ar-SA"/>
        </w:rPr>
        <w:t>持续深化反“三违”活动，建立企业人员“三违”行为惩戒办法，组织员工开展安全生产承诺。各行业领域结合实际，建立作业场所视频监控系统，开展视频反“三违”，</w:t>
      </w:r>
      <w:r>
        <w:rPr>
          <w:rFonts w:hint="eastAsia" w:ascii="仿宋_GB2312" w:hAnsi="楷体_GB2312" w:eastAsia="仿宋_GB2312" w:cs="楷体_GB2312"/>
          <w:color w:val="000000"/>
          <w:kern w:val="2"/>
          <w:sz w:val="32"/>
          <w:szCs w:val="32"/>
          <w:u w:val="none"/>
          <w:lang w:val="en-US" w:bidi="ar-SA"/>
        </w:rPr>
        <w:t>促进从业人员自觉遵守安全生产规章制度和操作规程，落实岗位安全风险防控措施。（负有安全</w:t>
      </w:r>
      <w:r>
        <w:rPr>
          <w:rFonts w:hint="eastAsia" w:ascii="仿宋_GB2312" w:hAnsi="楷体_GB2312" w:eastAsia="仿宋_GB2312" w:cs="楷体_GB2312"/>
          <w:color w:val="000000"/>
          <w:kern w:val="2"/>
          <w:sz w:val="32"/>
          <w:szCs w:val="32"/>
          <w:u w:val="none"/>
          <w:lang w:val="en-US" w:eastAsia="zh-CN" w:bidi="ar-SA"/>
        </w:rPr>
        <w:t>生产</w:t>
      </w:r>
      <w:r>
        <w:rPr>
          <w:rFonts w:hint="eastAsia" w:ascii="仿宋_GB2312" w:hAnsi="楷体_GB2312" w:eastAsia="仿宋_GB2312" w:cs="楷体_GB2312"/>
          <w:color w:val="000000"/>
          <w:kern w:val="2"/>
          <w:sz w:val="32"/>
          <w:szCs w:val="32"/>
          <w:u w:val="none"/>
          <w:lang w:val="en-US" w:bidi="ar-SA"/>
        </w:rPr>
        <w:t>监管职责的部门督促企业落实）</w:t>
      </w:r>
    </w:p>
    <w:p w14:paraId="301B22FD">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kern w:val="2"/>
          <w:sz w:val="32"/>
          <w:szCs w:val="32"/>
          <w:u w:val="none"/>
          <w:lang w:val="en-US" w:bidi="ar-SA"/>
        </w:rPr>
      </w:pPr>
      <w:r>
        <w:rPr>
          <w:rStyle w:val="48"/>
          <w:rFonts w:hint="eastAsia" w:ascii="楷体_GB2312" w:hAnsi="楷体_GB2312" w:eastAsia="楷体_GB2312" w:cs="楷体_GB2312"/>
          <w:b/>
          <w:bCs/>
          <w:color w:val="000000"/>
          <w:kern w:val="2"/>
          <w:sz w:val="32"/>
          <w:szCs w:val="32"/>
          <w:u w:val="none"/>
          <w:lang w:val="en-US" w:eastAsia="zh-CN" w:bidi="ar-SA"/>
        </w:rPr>
        <w:t>（十）强化责任倒查。</w:t>
      </w:r>
      <w:bookmarkEnd w:id="39"/>
      <w:bookmarkEnd w:id="40"/>
      <w:bookmarkEnd w:id="41"/>
      <w:r>
        <w:rPr>
          <w:rFonts w:hint="eastAsia" w:ascii="仿宋_GB2312" w:hAnsi="楷体_GB2312" w:eastAsia="仿宋_GB2312" w:cs="楷体_GB2312"/>
          <w:color w:val="000000"/>
          <w:kern w:val="2"/>
          <w:sz w:val="32"/>
          <w:szCs w:val="32"/>
          <w:u w:val="none"/>
          <w:lang w:val="en-US" w:eastAsia="zh-CN" w:bidi="ar-SA"/>
        </w:rPr>
        <w:t>严格责任倒查追究，树立“严管就是厚爱”和“动员千遍不如问责一次”的理念，对故意或者重大过失，未履行、不当履行或者违法履行职责，导致发生事故等危害后果或者造成不良影响的，依法进行责任倒查追究，不仅追究企业直接责任人责任，而且追究属地党政领导责任和部门监管责任，并依法将有关企业及人员列入严重失信主体名单。对安全生产责任落实不到位、重点工作推进</w:t>
      </w:r>
      <w:r>
        <w:rPr>
          <w:rFonts w:hint="eastAsia" w:ascii="仿宋_GB2312" w:hAnsi="楷体_GB2312" w:eastAsia="仿宋_GB2312" w:cs="楷体_GB2312"/>
          <w:color w:val="000000"/>
          <w:kern w:val="2"/>
          <w:sz w:val="32"/>
          <w:szCs w:val="32"/>
          <w:u w:val="none"/>
          <w:lang w:val="en-US" w:bidi="ar-SA"/>
        </w:rPr>
        <w:t>缓慢</w:t>
      </w:r>
      <w:r>
        <w:rPr>
          <w:rFonts w:hint="eastAsia" w:ascii="仿宋_GB2312" w:hAnsi="楷体_GB2312" w:eastAsia="仿宋_GB2312" w:cs="楷体_GB2312"/>
          <w:color w:val="000000"/>
          <w:kern w:val="2"/>
          <w:sz w:val="32"/>
          <w:szCs w:val="32"/>
          <w:u w:val="none"/>
          <w:lang w:val="en-US" w:eastAsia="zh-CN" w:bidi="ar-SA"/>
        </w:rPr>
        <w:t>、重大隐患整改</w:t>
      </w:r>
      <w:r>
        <w:rPr>
          <w:rFonts w:hint="eastAsia" w:ascii="仿宋_GB2312" w:hAnsi="楷体_GB2312" w:eastAsia="仿宋_GB2312" w:cs="楷体_GB2312"/>
          <w:color w:val="000000"/>
          <w:kern w:val="2"/>
          <w:sz w:val="32"/>
          <w:szCs w:val="32"/>
          <w:u w:val="none"/>
          <w:lang w:val="en-US" w:bidi="ar-SA"/>
        </w:rPr>
        <w:t>不力</w:t>
      </w:r>
      <w:r>
        <w:rPr>
          <w:rFonts w:hint="eastAsia" w:ascii="仿宋_GB2312" w:hAnsi="楷体_GB2312" w:eastAsia="仿宋_GB2312" w:cs="楷体_GB2312"/>
          <w:color w:val="000000"/>
          <w:kern w:val="2"/>
          <w:sz w:val="32"/>
          <w:szCs w:val="32"/>
          <w:u w:val="none"/>
          <w:lang w:val="en-US" w:eastAsia="zh-CN" w:bidi="ar-SA"/>
        </w:rPr>
        <w:t>的，予以通报</w:t>
      </w:r>
      <w:r>
        <w:rPr>
          <w:rFonts w:hint="eastAsia" w:ascii="仿宋_GB2312" w:hAnsi="楷体_GB2312" w:eastAsia="仿宋_GB2312" w:cs="楷体_GB2312"/>
          <w:color w:val="000000"/>
          <w:kern w:val="2"/>
          <w:sz w:val="32"/>
          <w:szCs w:val="32"/>
          <w:u w:val="none"/>
          <w:lang w:val="en-US" w:bidi="ar-SA"/>
        </w:rPr>
        <w:t>批评</w:t>
      </w:r>
      <w:r>
        <w:rPr>
          <w:rFonts w:hint="eastAsia" w:ascii="仿宋_GB2312" w:hAnsi="楷体_GB2312" w:eastAsia="仿宋_GB2312" w:cs="楷体_GB2312"/>
          <w:color w:val="000000"/>
          <w:kern w:val="2"/>
          <w:sz w:val="32"/>
          <w:szCs w:val="32"/>
          <w:u w:val="none"/>
          <w:lang w:val="en-US" w:eastAsia="zh-CN" w:bidi="ar-SA"/>
        </w:rPr>
        <w:t>、</w:t>
      </w:r>
      <w:r>
        <w:rPr>
          <w:rFonts w:hint="eastAsia" w:ascii="仿宋_GB2312" w:hAnsi="楷体_GB2312" w:eastAsia="仿宋_GB2312" w:cs="楷体_GB2312"/>
          <w:color w:val="000000"/>
          <w:kern w:val="2"/>
          <w:sz w:val="32"/>
          <w:szCs w:val="32"/>
          <w:u w:val="none"/>
          <w:lang w:val="en-US" w:bidi="ar-SA"/>
        </w:rPr>
        <w:t>公开曝光、</w:t>
      </w:r>
      <w:r>
        <w:rPr>
          <w:rFonts w:hint="eastAsia" w:ascii="仿宋_GB2312" w:hAnsi="楷体_GB2312" w:eastAsia="仿宋_GB2312" w:cs="楷体_GB2312"/>
          <w:color w:val="000000"/>
          <w:kern w:val="2"/>
          <w:sz w:val="32"/>
          <w:szCs w:val="32"/>
          <w:u w:val="none"/>
          <w:lang w:val="en-US" w:eastAsia="zh-CN" w:bidi="ar-SA"/>
        </w:rPr>
        <w:t>约谈问责。对符合</w:t>
      </w:r>
      <w:r>
        <w:rPr>
          <w:rFonts w:hint="eastAsia" w:ascii="仿宋_GB2312" w:hAnsi="楷体_GB2312" w:eastAsia="仿宋_GB2312" w:cs="楷体_GB2312"/>
          <w:color w:val="auto"/>
          <w:kern w:val="2"/>
          <w:sz w:val="32"/>
          <w:szCs w:val="32"/>
          <w:u w:val="none"/>
          <w:lang w:val="en-US" w:eastAsia="zh-CN" w:bidi="ar-SA"/>
        </w:rPr>
        <w:t>《长治市安全生产行政执法与纪检监察衔接协作工作机制(试行)》(长纪办法〔2023〕19号)</w:t>
      </w:r>
      <w:r>
        <w:rPr>
          <w:rFonts w:hint="eastAsia" w:ascii="仿宋_GB2312" w:hAnsi="楷体_GB2312" w:eastAsia="仿宋_GB2312" w:cs="楷体_GB2312"/>
          <w:color w:val="000000"/>
          <w:kern w:val="2"/>
          <w:sz w:val="32"/>
          <w:szCs w:val="32"/>
          <w:u w:val="none"/>
          <w:lang w:val="en-US" w:eastAsia="zh-CN" w:bidi="ar-SA"/>
        </w:rPr>
        <w:t>移送情形的及时移送纪检监察部门。对煤矿、危险化学品、道路运输等行业企业关闭、破坏监控报警设备设施，或者篡改、隐瞒、销毁其相关数据信息等危险作业，以及无证非法生产经营构成犯罪的，移送司法机关追究刑事责任。专项整治期间发生同类型较大事故的，约谈属地政府。（安委会有关成员单位负责）</w:t>
      </w:r>
    </w:p>
    <w:p w14:paraId="5614A869">
      <w:pPr>
        <w:pStyle w:val="2"/>
        <w:widowControl w:val="0"/>
        <w:wordWrap/>
        <w:adjustRightInd/>
        <w:snapToGrid/>
        <w:spacing w:before="0" w:beforeAutospacing="0" w:after="0" w:afterAutospacing="0" w:line="600" w:lineRule="exact"/>
        <w:ind w:firstLine="643" w:firstLineChars="200"/>
        <w:textAlignment w:val="auto"/>
        <w:rPr>
          <w:rFonts w:hint="default" w:ascii="黑体" w:hAnsi="黑体" w:eastAsia="黑体" w:cs="黑体"/>
          <w:color w:val="000000"/>
          <w:sz w:val="32"/>
          <w:szCs w:val="32"/>
          <w:u w:val="none"/>
          <w:lang w:val="en-US" w:eastAsia="zh-CN"/>
        </w:rPr>
      </w:pPr>
      <w:bookmarkStart w:id="42" w:name="_Toc27736"/>
      <w:bookmarkStart w:id="43" w:name="_Toc11892"/>
      <w:bookmarkStart w:id="44" w:name="_Toc4866"/>
      <w:r>
        <w:rPr>
          <w:rFonts w:hint="eastAsia" w:ascii="黑体" w:hAnsi="黑体" w:eastAsia="黑体" w:cs="黑体"/>
          <w:color w:val="000000"/>
          <w:sz w:val="32"/>
          <w:szCs w:val="32"/>
          <w:u w:val="none"/>
          <w:lang w:val="en-US" w:eastAsia="zh-CN"/>
        </w:rPr>
        <w:t>四、聚焦问题隐患</w:t>
      </w:r>
      <w:bookmarkEnd w:id="42"/>
      <w:bookmarkEnd w:id="43"/>
      <w:bookmarkEnd w:id="44"/>
      <w:r>
        <w:rPr>
          <w:rFonts w:hint="eastAsia" w:ascii="黑体" w:hAnsi="黑体" w:eastAsia="黑体" w:cs="黑体"/>
          <w:color w:val="000000"/>
          <w:sz w:val="32"/>
          <w:szCs w:val="32"/>
          <w:u w:val="none"/>
          <w:lang w:val="en-US" w:eastAsia="zh-CN"/>
        </w:rPr>
        <w:t>，根源上杜绝安全漏洞</w:t>
      </w:r>
    </w:p>
    <w:p w14:paraId="7755626E">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bookmarkStart w:id="45" w:name="_Toc22114"/>
      <w:bookmarkStart w:id="46" w:name="_Toc3295"/>
      <w:bookmarkStart w:id="47" w:name="_Toc30373"/>
      <w:r>
        <w:rPr>
          <w:rStyle w:val="48"/>
          <w:rFonts w:hint="eastAsia" w:ascii="楷体_GB2312" w:hAnsi="楷体_GB2312" w:eastAsia="楷体_GB2312" w:cs="楷体_GB2312"/>
          <w:b/>
          <w:bCs/>
          <w:color w:val="000000"/>
          <w:kern w:val="2"/>
          <w:sz w:val="32"/>
          <w:szCs w:val="32"/>
          <w:u w:val="none"/>
          <w:lang w:val="en-US" w:eastAsia="zh-CN" w:bidi="ar-SA"/>
        </w:rPr>
        <w:t>（十一）</w:t>
      </w:r>
      <w:r>
        <w:rPr>
          <w:rFonts w:hint="eastAsia" w:ascii="楷体" w:hAnsi="楷体" w:eastAsia="楷体" w:cs="楷体"/>
          <w:b/>
          <w:bCs/>
          <w:sz w:val="32"/>
          <w:szCs w:val="32"/>
          <w:lang w:val="en-US" w:eastAsia="zh-CN"/>
        </w:rPr>
        <w:t>聚焦突出问题</w:t>
      </w:r>
      <w:r>
        <w:rPr>
          <w:rStyle w:val="48"/>
          <w:rFonts w:hint="eastAsia" w:ascii="楷体" w:hAnsi="楷体" w:eastAsia="楷体" w:cs="楷体"/>
          <w:b/>
          <w:bCs/>
          <w:color w:val="000000"/>
          <w:kern w:val="2"/>
          <w:sz w:val="32"/>
          <w:szCs w:val="32"/>
          <w:u w:val="none"/>
          <w:lang w:val="en-US" w:eastAsia="zh-CN" w:bidi="ar-SA"/>
        </w:rPr>
        <w:t>。</w:t>
      </w:r>
      <w:bookmarkEnd w:id="45"/>
      <w:bookmarkEnd w:id="46"/>
      <w:bookmarkEnd w:id="47"/>
      <w:r>
        <w:rPr>
          <w:rFonts w:hint="eastAsia" w:ascii="仿宋_GB2312" w:hAnsi="楷体_GB2312" w:eastAsia="仿宋_GB2312" w:cs="楷体_GB2312"/>
          <w:color w:val="000000"/>
          <w:kern w:val="2"/>
          <w:sz w:val="32"/>
          <w:szCs w:val="32"/>
          <w:u w:val="none"/>
          <w:lang w:val="en-US" w:eastAsia="zh-CN" w:bidi="ar-SA"/>
        </w:rPr>
        <w:t>聚焦重点行业领域，采取有力措施，每年至少解决1—2项制约安全发展的突出问题。涉及跨部门难以解决的重大问题要及时提请党委政府专题研究。持续推动矿山“八条硬措施”硬落实，深化煤矿重大灾害防治帮扶，着力解决煤矿隐蔽致灾因素不清、瓦斯防治和探放水措施落实不到位等问题；深化资源整合，推动兼并重组、关小上大，着力解决非煤矿山冶金工贸企业多、小、散、乱、差，“一厂多租、厂中厂、业态混杂”以及工程项目、检维修作业外包外委管理不到位等问题；着力解决油气长输管道项目手续办理等问题，加快安全设施“三同时”审查工作；着力解决建设工程消防审验历史遗留、使用易燃可燃保温材料等问题；着力解决高层建筑、医疗机构、人员密集场所、“九小场所”、文物建筑等消防设施器材不完善、安全措施不落实、特殊作业管控不到位等问题；加快推进停放充电设施建设，着力解决电动自行车进楼入户、飞线充电等违规停放充电行为，以及打击非法改装力度不大、充电费用未落实居民电价政策等问题；着力解决建设工程转包、违法分包、盲目赶工期抢进度、不按方案施工、审批手续不全、违规动火作业、高处坠落等问题；着力解决燃气老旧管网带病运行、第三方盲目施工破坏以及气、瓶、阀、管、灶等方面问题；着力解决“两客一危一货一面”等</w:t>
      </w:r>
      <w:r>
        <w:rPr>
          <w:rFonts w:hint="eastAsia" w:ascii="仿宋_GB2312" w:hAnsi="楷体_GB2312" w:eastAsia="仿宋_GB2312" w:cs="楷体_GB2312"/>
          <w:color w:val="000000"/>
          <w:kern w:val="2"/>
          <w:sz w:val="32"/>
          <w:szCs w:val="32"/>
          <w:u w:val="none"/>
          <w:lang w:val="en-US" w:bidi="ar-SA"/>
        </w:rPr>
        <w:t>重点车辆</w:t>
      </w:r>
      <w:r>
        <w:rPr>
          <w:rFonts w:hint="eastAsia" w:ascii="仿宋_GB2312" w:hAnsi="楷体_GB2312" w:eastAsia="仿宋_GB2312" w:cs="楷体_GB2312"/>
          <w:color w:val="000000"/>
          <w:kern w:val="2"/>
          <w:sz w:val="32"/>
          <w:szCs w:val="32"/>
          <w:u w:val="none"/>
          <w:lang w:val="en-US" w:eastAsia="zh-CN" w:bidi="ar-SA"/>
        </w:rPr>
        <w:t>“三超一疲劳”、酒醉驾、旅游客车不按规定配备双驾驶人和不按规定线路行驶、重点营运车辆动态监控流于形式、公路行车速度管控不足、农用车违法载人，拖拉机、联合收割机无牌行驶、未检作业、无证驾驶，以及隧道照明、临水临崖、长大桥隧、急弯陡坡、校园门口基础防护设施不到位等问题。（负有安全生产监管职责的部门负责）</w:t>
      </w:r>
    </w:p>
    <w:p w14:paraId="11CB9075">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bookmarkStart w:id="48" w:name="_Toc21976"/>
      <w:bookmarkStart w:id="49" w:name="_Toc807"/>
      <w:bookmarkStart w:id="50" w:name="_Toc28295"/>
      <w:r>
        <w:rPr>
          <w:rStyle w:val="48"/>
          <w:rFonts w:hint="eastAsia" w:ascii="楷体_GB2312" w:hAnsi="楷体_GB2312" w:eastAsia="楷体_GB2312" w:cs="楷体_GB2312"/>
          <w:b/>
          <w:bCs/>
          <w:color w:val="000000"/>
          <w:kern w:val="2"/>
          <w:sz w:val="32"/>
          <w:szCs w:val="32"/>
          <w:u w:val="none"/>
          <w:lang w:val="en-US" w:eastAsia="zh-CN" w:bidi="ar-SA"/>
        </w:rPr>
        <w:t>（十二）消除重大隐患。</w:t>
      </w:r>
      <w:bookmarkEnd w:id="48"/>
      <w:bookmarkEnd w:id="49"/>
      <w:bookmarkEnd w:id="50"/>
      <w:r>
        <w:rPr>
          <w:rFonts w:hint="eastAsia" w:ascii="仿宋_GB2312" w:hAnsi="楷体_GB2312" w:eastAsia="仿宋_GB2312" w:cs="楷体_GB2312"/>
          <w:color w:val="000000"/>
          <w:kern w:val="2"/>
          <w:sz w:val="32"/>
          <w:szCs w:val="32"/>
          <w:u w:val="none"/>
          <w:lang w:val="en-US" w:eastAsia="zh-CN" w:bidi="ar-SA"/>
        </w:rPr>
        <w:t>统筹推进安全生产治本攻坚三年行动，按照国务院安委会统一部署，开展企业主要负责人教育培训、从业人员安全素质提升、部门精准执法、事故隐患动态清零、安全科技支撑、全民安全素质提升等行动，落实人防、技防、工程防、管理防等措施，不断提升本质安全水平。加强燃气、人员密集场所动火作业、电动自行车、新能源充电基础设施、保温材料“一件事”全链条安全监管，深入开展岁末年初安全生产和自然灾害风险隐患排查整治专项行动，拉网式、地毯式、起底式排查整治事故灾害隐患。持续学好用好重大隐患判定标准及“一行业一清单”，落实重大隐患</w:t>
      </w:r>
      <w:r>
        <w:rPr>
          <w:rFonts w:hint="default" w:ascii="仿宋_GB2312" w:hAnsi="楷体_GB2312" w:eastAsia="仿宋_GB2312" w:cs="楷体_GB2312"/>
          <w:color w:val="000000"/>
          <w:kern w:val="2"/>
          <w:sz w:val="32"/>
          <w:szCs w:val="32"/>
          <w:u w:val="none"/>
          <w:lang w:val="en-US" w:eastAsia="zh-CN" w:bidi="ar-SA"/>
        </w:rPr>
        <w:t>自查自改常态化机制</w:t>
      </w:r>
      <w:r>
        <w:rPr>
          <w:rFonts w:hint="eastAsia" w:ascii="仿宋_GB2312" w:hAnsi="楷体_GB2312" w:eastAsia="仿宋_GB2312" w:cs="楷体_GB2312"/>
          <w:color w:val="000000"/>
          <w:kern w:val="2"/>
          <w:sz w:val="32"/>
          <w:szCs w:val="32"/>
          <w:u w:val="none"/>
          <w:lang w:val="en-US" w:eastAsia="zh-CN" w:bidi="ar-SA"/>
        </w:rPr>
        <w:t>和“双报告”制度，推进重大隐患动态清零。严格落实《长治市安全生产隐患源头治理工作指南》，坚持“源头上分析、系统上排查、根本上整改”理念，坚持“隐患描述、原因分析、追责问责、即时整改、源头治理”五步工作法，企业要建立健全事故隐患排查治理制度，完善事故隐患自查自改常态化动态清零机制，对排查出的各类隐患立整立改，不能立即整改的要明确整改期限，对重复出现的一般隐患和重点隐患要从隐患整改措施、整改质量、整改效果、责任单位和责任人验收等环节进行追溯，强化隐患源头治理。推行“发现隐患、移交办理、信息公开、督导巡查、考核通报”全过程闭环管理，严格执行重大隐患整改销号，逐条进行复查，确保重大隐患真正消除。持续深化矿山领域“安全不确认”机制，坚决克服惯性思维，体现“安全不确认、坚决不开工”逆向理念，待安全不确认问题整改后，重新确认安全方可开工作业，并在其他重点高危行业领域推广推行。健全落实部门（企业）事故隐患举报（报告）奖励制度，对检查核查发现的重大隐患采取立案查处、公开曝光、追责问责，对主要负责人和企业“一案双罚”等措施。对严重违法行为依法采取限期整改、停产整顿、关闭取缔、上限处罚、联合惩戒，落实行刑衔接机制。（安委会有关成员单位负责）</w:t>
      </w:r>
    </w:p>
    <w:p w14:paraId="3D4BC4A3">
      <w:pPr>
        <w:widowControl w:val="0"/>
        <w:wordWrap/>
        <w:adjustRightInd/>
        <w:snapToGrid/>
        <w:spacing w:line="576" w:lineRule="exact"/>
        <w:ind w:left="0" w:leftChars="0" w:firstLine="643" w:firstLineChars="200"/>
        <w:textAlignment w:val="auto"/>
        <w:rPr>
          <w:rFonts w:hint="default" w:ascii="仿宋_GB2312" w:hAnsi="楷体_GB2312" w:eastAsia="仿宋_GB2312" w:cs="楷体_GB2312"/>
          <w:color w:val="000000"/>
          <w:kern w:val="2"/>
          <w:sz w:val="32"/>
          <w:szCs w:val="32"/>
          <w:u w:val="none"/>
          <w:lang w:val="en-US" w:eastAsia="zh-CN" w:bidi="ar-SA"/>
        </w:rPr>
      </w:pPr>
      <w:r>
        <w:rPr>
          <w:rStyle w:val="48"/>
          <w:rFonts w:hint="eastAsia" w:ascii="楷体_GB2312" w:hAnsi="楷体_GB2312" w:eastAsia="楷体_GB2312" w:cs="楷体_GB2312"/>
          <w:b/>
          <w:bCs/>
          <w:color w:val="000000"/>
          <w:kern w:val="2"/>
          <w:sz w:val="32"/>
          <w:szCs w:val="32"/>
          <w:u w:val="none"/>
          <w:lang w:val="en-US" w:eastAsia="zh-CN" w:bidi="ar-SA"/>
        </w:rPr>
        <w:t>（十三）创新监管方式。</w:t>
      </w:r>
      <w:r>
        <w:rPr>
          <w:rFonts w:hint="eastAsia" w:ascii="仿宋_GB2312" w:hAnsi="楷体_GB2312" w:eastAsia="仿宋_GB2312" w:cs="楷体_GB2312"/>
          <w:sz w:val="32"/>
          <w:szCs w:val="32"/>
        </w:rPr>
        <w:t>推动安全生产监管模式向事前预防转型，积极探索数字化赋能，加大“互联网＋执法”应用力度，推广“远程＋现场”执法。采取“四不两直”、</w:t>
      </w:r>
      <w:r>
        <w:rPr>
          <w:rFonts w:hint="eastAsia" w:ascii="仿宋_GB2312" w:hAnsi="楷体_GB2312" w:eastAsia="仿宋_GB2312" w:cs="楷体_GB2312"/>
          <w:sz w:val="32"/>
          <w:szCs w:val="32"/>
          <w:lang w:eastAsia="zh-CN"/>
        </w:rPr>
        <w:t>明</w:t>
      </w:r>
      <w:r>
        <w:rPr>
          <w:rFonts w:hint="eastAsia" w:ascii="仿宋_GB2312" w:hAnsi="楷体_GB2312" w:eastAsia="仿宋_GB2312" w:cs="楷体_GB2312"/>
          <w:sz w:val="32"/>
          <w:szCs w:val="32"/>
        </w:rPr>
        <w:t>查暗访、交叉执法等方式，深入推进精准严格执法，及时公布和处理检查发现的重大事故隐患。建立健全监管执法统计、执法考评和典型案例报送制度。强化专家配合执法、指导服务企业的技术支撑。（负有安全监管职责的部门落实）</w:t>
      </w:r>
    </w:p>
    <w:p w14:paraId="78698ED3">
      <w:pPr>
        <w:pStyle w:val="2"/>
        <w:widowControl w:val="0"/>
        <w:wordWrap/>
        <w:adjustRightInd/>
        <w:snapToGrid/>
        <w:spacing w:before="0" w:beforeAutospacing="0" w:after="0" w:afterAutospacing="0" w:line="600" w:lineRule="exact"/>
        <w:ind w:firstLine="643" w:firstLineChars="200"/>
        <w:textAlignment w:val="auto"/>
        <w:rPr>
          <w:rFonts w:hint="eastAsia" w:ascii="黑体" w:hAnsi="黑体" w:eastAsia="黑体" w:cs="黑体"/>
          <w:color w:val="000000"/>
          <w:sz w:val="32"/>
          <w:szCs w:val="32"/>
          <w:u w:val="none"/>
          <w:lang w:val="en-US" w:eastAsia="zh-CN"/>
        </w:rPr>
      </w:pPr>
      <w:bookmarkStart w:id="51" w:name="_Toc1264"/>
      <w:bookmarkStart w:id="52" w:name="_Toc21236"/>
      <w:bookmarkStart w:id="53" w:name="_Toc18263"/>
      <w:r>
        <w:rPr>
          <w:rFonts w:hint="eastAsia" w:ascii="黑体" w:hAnsi="黑体" w:eastAsia="黑体" w:cs="黑体"/>
          <w:color w:val="000000"/>
          <w:sz w:val="32"/>
          <w:szCs w:val="32"/>
          <w:u w:val="none"/>
          <w:lang w:val="en-US" w:eastAsia="zh-CN"/>
        </w:rPr>
        <w:t>五、</w:t>
      </w:r>
      <w:bookmarkEnd w:id="51"/>
      <w:bookmarkEnd w:id="52"/>
      <w:bookmarkEnd w:id="53"/>
      <w:r>
        <w:rPr>
          <w:rFonts w:hint="eastAsia" w:ascii="黑体" w:hAnsi="黑体" w:eastAsia="黑体" w:cs="黑体"/>
          <w:sz w:val="32"/>
          <w:szCs w:val="32"/>
          <w:lang w:val="en-US" w:eastAsia="zh-CN"/>
        </w:rPr>
        <w:t>推动智慧应急，多层次提升科技赋能</w:t>
      </w:r>
    </w:p>
    <w:p w14:paraId="7A54044C">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bookmarkStart w:id="54" w:name="_Toc12986"/>
      <w:bookmarkStart w:id="55" w:name="_Toc20513"/>
      <w:bookmarkStart w:id="56" w:name="_Toc4244"/>
      <w:r>
        <w:rPr>
          <w:rStyle w:val="48"/>
          <w:rFonts w:hint="eastAsia" w:ascii="楷体_GB2312" w:hAnsi="楷体_GB2312" w:eastAsia="楷体_GB2312" w:cs="楷体_GB2312"/>
          <w:b/>
          <w:bCs/>
          <w:color w:val="000000"/>
          <w:kern w:val="2"/>
          <w:sz w:val="32"/>
          <w:szCs w:val="32"/>
          <w:u w:val="none"/>
          <w:lang w:val="en-US" w:eastAsia="zh-CN" w:bidi="ar-SA"/>
        </w:rPr>
        <w:t>（十四）推进信息建设</w:t>
      </w:r>
      <w:r>
        <w:rPr>
          <w:rStyle w:val="48"/>
          <w:rFonts w:hint="eastAsia" w:ascii="楷体" w:hAnsi="楷体" w:eastAsia="楷体" w:cs="楷体"/>
          <w:b/>
          <w:bCs/>
          <w:color w:val="000000"/>
          <w:kern w:val="2"/>
          <w:sz w:val="32"/>
          <w:szCs w:val="32"/>
          <w:u w:val="none"/>
          <w:lang w:val="en-US" w:eastAsia="zh-CN" w:bidi="ar-SA"/>
        </w:rPr>
        <w:t>。</w:t>
      </w:r>
      <w:bookmarkEnd w:id="54"/>
      <w:bookmarkEnd w:id="55"/>
      <w:bookmarkEnd w:id="56"/>
      <w:r>
        <w:rPr>
          <w:rFonts w:hint="eastAsia" w:ascii="仿宋_GB2312" w:hAnsi="楷体_GB2312" w:eastAsia="仿宋_GB2312" w:cs="楷体_GB2312"/>
          <w:color w:val="000000"/>
          <w:kern w:val="2"/>
          <w:sz w:val="32"/>
          <w:szCs w:val="32"/>
          <w:u w:val="none"/>
          <w:lang w:val="en-US" w:eastAsia="zh-CN" w:bidi="ar-SA"/>
        </w:rPr>
        <w:t>推广“智慧应急”，实施“应急大脑”工程，加强风险普查数据应用，汇聚融合安全生产、自然灾害、抢险救援等基础信息数据，实现跨层级、跨部门的信息共享和业务协同，全面提升监测预警、决策指挥和响应处置能力。将视频指挥调度平台延伸至乡镇级，实现应急指令直达基层。打造无人机2小时可抵达的视频图传、三维建模和通信保障服务圈。大力推进矿山智能化建设，灾害严重煤矿基本实现智能化。开展自然灾害应急能力提升工程项目建设，配备音视频指挥调度等设施设备。推进应急数据汇聚服务、应急管理指挥调度等项目建设。加大城市智慧消防、消防大数据平台、消防物联网监控系统区级预警中心建设应用力度。年底前实现矿山、重点粉尘涉爆等企业安全风险监测预警全覆盖，建成化工和危险化学品重大危险源</w:t>
      </w:r>
      <w:r>
        <w:rPr>
          <w:rFonts w:hint="eastAsia" w:ascii="仿宋_GB2312" w:hAnsi="楷体_GB2312" w:eastAsia="仿宋_GB2312" w:cs="楷体_GB2312"/>
          <w:color w:val="000000"/>
          <w:kern w:val="2"/>
          <w:sz w:val="32"/>
          <w:szCs w:val="32"/>
          <w:u w:val="none"/>
          <w:lang w:val="en-US" w:bidi="ar-SA"/>
        </w:rPr>
        <w:t>企业</w:t>
      </w:r>
      <w:r>
        <w:rPr>
          <w:rFonts w:hint="eastAsia" w:ascii="仿宋_GB2312" w:hAnsi="楷体_GB2312" w:eastAsia="仿宋_GB2312" w:cs="楷体_GB2312"/>
          <w:color w:val="000000"/>
          <w:kern w:val="2"/>
          <w:sz w:val="32"/>
          <w:szCs w:val="32"/>
          <w:u w:val="none"/>
          <w:lang w:val="en-US" w:eastAsia="zh-CN" w:bidi="ar-SA"/>
        </w:rPr>
        <w:t>特殊</w:t>
      </w:r>
      <w:r>
        <w:rPr>
          <w:rFonts w:hint="eastAsia" w:ascii="仿宋_GB2312" w:hAnsi="楷体_GB2312" w:eastAsia="仿宋_GB2312" w:cs="楷体_GB2312"/>
          <w:color w:val="000000"/>
          <w:kern w:val="2"/>
          <w:sz w:val="32"/>
          <w:szCs w:val="32"/>
          <w:u w:val="none"/>
          <w:lang w:val="en-US" w:bidi="ar-SA"/>
        </w:rPr>
        <w:t>作业</w:t>
      </w:r>
      <w:r>
        <w:rPr>
          <w:rFonts w:hint="eastAsia" w:ascii="仿宋_GB2312" w:hAnsi="楷体_GB2312" w:eastAsia="仿宋_GB2312" w:cs="楷体_GB2312"/>
          <w:color w:val="000000"/>
          <w:kern w:val="2"/>
          <w:sz w:val="32"/>
          <w:szCs w:val="32"/>
          <w:u w:val="none"/>
          <w:lang w:val="en-US" w:eastAsia="zh-CN" w:bidi="ar-SA"/>
        </w:rPr>
        <w:t>审批与作业管理场景和</w:t>
      </w:r>
      <w:r>
        <w:rPr>
          <w:rFonts w:hint="eastAsia" w:ascii="仿宋_GB2312" w:hAnsi="楷体_GB2312" w:eastAsia="仿宋_GB2312" w:cs="楷体_GB2312"/>
          <w:color w:val="000000"/>
          <w:kern w:val="2"/>
          <w:sz w:val="32"/>
          <w:szCs w:val="32"/>
          <w:u w:val="none"/>
          <w:lang w:val="en-US" w:bidi="ar-SA"/>
        </w:rPr>
        <w:t>人员定位</w:t>
      </w:r>
      <w:r>
        <w:rPr>
          <w:rFonts w:hint="eastAsia" w:ascii="仿宋_GB2312" w:hAnsi="楷体_GB2312" w:eastAsia="仿宋_GB2312" w:cs="楷体_GB2312"/>
          <w:color w:val="000000"/>
          <w:kern w:val="2"/>
          <w:sz w:val="32"/>
          <w:szCs w:val="32"/>
          <w:u w:val="none"/>
          <w:lang w:val="en-US" w:eastAsia="zh-CN" w:bidi="ar-SA"/>
        </w:rPr>
        <w:t>等</w:t>
      </w:r>
      <w:r>
        <w:rPr>
          <w:rFonts w:hint="eastAsia" w:ascii="仿宋_GB2312" w:hAnsi="楷体_GB2312" w:eastAsia="仿宋_GB2312" w:cs="楷体_GB2312"/>
          <w:color w:val="000000"/>
          <w:kern w:val="2"/>
          <w:sz w:val="32"/>
          <w:szCs w:val="32"/>
          <w:u w:val="none"/>
          <w:lang w:val="en-US" w:bidi="ar-SA"/>
        </w:rPr>
        <w:t>系</w:t>
      </w:r>
      <w:r>
        <w:rPr>
          <w:rFonts w:hint="eastAsia" w:ascii="仿宋_GB2312" w:hAnsi="楷体_GB2312" w:eastAsia="仿宋_GB2312" w:cs="楷体_GB2312"/>
          <w:color w:val="000000"/>
          <w:kern w:val="2"/>
          <w:sz w:val="32"/>
          <w:szCs w:val="32"/>
          <w:u w:val="none"/>
          <w:lang w:val="en-US" w:eastAsia="zh-CN" w:bidi="ar-SA"/>
        </w:rPr>
        <w:t>统。（</w:t>
      </w:r>
      <w:r>
        <w:rPr>
          <w:rFonts w:hint="eastAsia" w:ascii="仿宋_GB2312" w:hAnsi="楷体_GB2312" w:eastAsia="仿宋_GB2312" w:cs="楷体_GB2312"/>
          <w:color w:val="000000"/>
          <w:spacing w:val="-1"/>
          <w:kern w:val="2"/>
          <w:sz w:val="32"/>
          <w:szCs w:val="32"/>
          <w:u w:val="none"/>
          <w:lang w:val="en-US" w:eastAsia="zh-CN" w:bidi="ar-SA"/>
        </w:rPr>
        <w:t>安委会有关成员单位负责</w:t>
      </w:r>
      <w:r>
        <w:rPr>
          <w:rFonts w:hint="eastAsia" w:ascii="仿宋_GB2312" w:hAnsi="楷体_GB2312" w:eastAsia="仿宋_GB2312" w:cs="楷体_GB2312"/>
          <w:color w:val="000000"/>
          <w:kern w:val="2"/>
          <w:sz w:val="32"/>
          <w:szCs w:val="32"/>
          <w:u w:val="none"/>
          <w:lang w:val="en-US" w:eastAsia="zh-CN" w:bidi="ar-SA"/>
        </w:rPr>
        <w:t>）</w:t>
      </w:r>
      <w:bookmarkStart w:id="57" w:name="_Toc15889"/>
      <w:bookmarkStart w:id="58" w:name="_Toc17003"/>
      <w:bookmarkStart w:id="59" w:name="_Toc27950"/>
    </w:p>
    <w:p w14:paraId="05FFCFD1">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r>
        <w:rPr>
          <w:rStyle w:val="48"/>
          <w:rFonts w:hint="eastAsia" w:ascii="楷体_GB2312" w:hAnsi="楷体_GB2312" w:eastAsia="楷体_GB2312" w:cs="楷体_GB2312"/>
          <w:b/>
          <w:bCs/>
          <w:color w:val="000000"/>
          <w:kern w:val="2"/>
          <w:sz w:val="32"/>
          <w:szCs w:val="32"/>
          <w:u w:val="none"/>
          <w:lang w:val="en-US" w:eastAsia="zh-CN" w:bidi="ar-SA"/>
        </w:rPr>
        <w:t>（十五）深化工程治理。</w:t>
      </w:r>
      <w:bookmarkEnd w:id="57"/>
      <w:bookmarkEnd w:id="58"/>
      <w:bookmarkEnd w:id="59"/>
      <w:r>
        <w:rPr>
          <w:rFonts w:hint="eastAsia" w:ascii="仿宋_GB2312" w:hAnsi="楷体_GB2312" w:eastAsia="仿宋_GB2312" w:cs="楷体_GB2312"/>
          <w:color w:val="000000"/>
          <w:kern w:val="2"/>
          <w:sz w:val="32"/>
          <w:szCs w:val="32"/>
          <w:u w:val="none"/>
          <w:lang w:val="en-US" w:eastAsia="zh-CN" w:bidi="ar-SA"/>
        </w:rPr>
        <w:t>依托国家“两重”“两新”政策，加快矿山升级改造，持续推进煤矿“一优三减”，推广沿空留巷、无煤柱开采、放顶煤改一次采全高等工艺。深入推进煤矿区域性隐蔽致灾因素普查，2025年6月底前完成。扎实开展重大水害、瓦斯等工程治理。加快推进老旧场所消防设施升级改造、公路安全生命防护工程建设、水库除险加固、电梯安全筑底、铁路平交道口改造、消防“生命通道”畅通等安全治理工程。开展地震灾害危险源和风险源探查，加快实施巨灾防范工程和地震烈度速报与预警工程建设。（住建局、交通运输局、水利局、应急局、市场监管局、能源局、消防救援大队等部门分工负责）</w:t>
      </w:r>
    </w:p>
    <w:p w14:paraId="2DF58367">
      <w:pPr>
        <w:pStyle w:val="2"/>
        <w:widowControl w:val="0"/>
        <w:wordWrap/>
        <w:adjustRightInd/>
        <w:snapToGrid/>
        <w:spacing w:before="0" w:beforeAutospacing="0" w:after="0" w:afterAutospacing="0" w:line="600" w:lineRule="exact"/>
        <w:ind w:firstLine="643" w:firstLineChars="200"/>
        <w:textAlignment w:val="auto"/>
        <w:rPr>
          <w:rFonts w:hint="eastAsia" w:ascii="黑体" w:hAnsi="黑体" w:eastAsia="黑体" w:cs="黑体"/>
          <w:b w:val="0"/>
          <w:bCs w:val="0"/>
          <w:color w:val="000000"/>
          <w:sz w:val="32"/>
          <w:szCs w:val="32"/>
          <w:u w:val="none"/>
          <w:lang w:val="en-US" w:eastAsia="zh-CN"/>
        </w:rPr>
      </w:pPr>
      <w:bookmarkStart w:id="60" w:name="_Toc23676"/>
      <w:bookmarkStart w:id="61" w:name="_Toc13007"/>
      <w:bookmarkStart w:id="62" w:name="_Toc28863"/>
      <w:r>
        <w:rPr>
          <w:rFonts w:hint="eastAsia" w:ascii="黑体" w:hAnsi="黑体" w:eastAsia="黑体" w:cs="黑体"/>
          <w:color w:val="000000"/>
          <w:sz w:val="32"/>
          <w:szCs w:val="32"/>
          <w:u w:val="none"/>
          <w:lang w:val="en-US" w:eastAsia="zh-CN"/>
        </w:rPr>
        <w:t>六、</w:t>
      </w:r>
      <w:bookmarkEnd w:id="60"/>
      <w:bookmarkEnd w:id="61"/>
      <w:bookmarkEnd w:id="62"/>
      <w:r>
        <w:rPr>
          <w:rFonts w:hint="eastAsia" w:ascii="黑体" w:hAnsi="黑体" w:eastAsia="黑体" w:cs="黑体"/>
          <w:b w:val="0"/>
          <w:bCs w:val="0"/>
          <w:sz w:val="32"/>
          <w:szCs w:val="32"/>
          <w:lang w:val="en-US" w:eastAsia="zh-CN"/>
        </w:rPr>
        <w:t>完善应急体系，全方位提升处置能力</w:t>
      </w:r>
    </w:p>
    <w:p w14:paraId="438239D7">
      <w:pPr>
        <w:widowControl w:val="0"/>
        <w:wordWrap/>
        <w:adjustRightInd/>
        <w:snapToGrid/>
        <w:spacing w:beforeAutospacing="0" w:afterAutospacing="0" w:line="600" w:lineRule="exact"/>
        <w:ind w:right="0" w:firstLine="643" w:firstLineChars="200"/>
        <w:textAlignment w:val="auto"/>
        <w:outlineLvl w:val="9"/>
        <w:rPr>
          <w:rStyle w:val="48"/>
          <w:rFonts w:hint="eastAsia" w:ascii="华文楷体" w:hAnsi="华文楷体" w:eastAsia="华文楷体" w:cs="华文楷体"/>
          <w:b/>
          <w:bCs/>
          <w:color w:val="000000"/>
          <w:kern w:val="2"/>
          <w:sz w:val="32"/>
          <w:szCs w:val="32"/>
          <w:u w:val="none"/>
          <w:lang w:val="en-US" w:eastAsia="zh-CN" w:bidi="ar-SA"/>
        </w:rPr>
      </w:pPr>
      <w:bookmarkStart w:id="63" w:name="_Toc28321"/>
      <w:bookmarkStart w:id="64" w:name="_Toc5306"/>
      <w:bookmarkStart w:id="65" w:name="_Toc20900"/>
      <w:r>
        <w:rPr>
          <w:rStyle w:val="48"/>
          <w:rFonts w:hint="eastAsia" w:ascii="楷体_GB2312" w:hAnsi="楷体_GB2312" w:eastAsia="楷体_GB2312" w:cs="楷体_GB2312"/>
          <w:b/>
          <w:bCs/>
          <w:color w:val="000000"/>
          <w:kern w:val="2"/>
          <w:sz w:val="32"/>
          <w:szCs w:val="32"/>
          <w:u w:val="none"/>
          <w:lang w:val="en-US" w:eastAsia="zh-CN" w:bidi="ar-SA"/>
        </w:rPr>
        <w:t>（十六）强化监测预警。</w:t>
      </w:r>
      <w:r>
        <w:rPr>
          <w:rFonts w:hint="eastAsia" w:ascii="仿宋_GB2312" w:hAnsi="楷体_GB2312" w:eastAsia="仿宋_GB2312" w:cs="楷体_GB2312"/>
          <w:color w:val="000000"/>
          <w:kern w:val="2"/>
          <w:sz w:val="32"/>
          <w:szCs w:val="32"/>
          <w:u w:val="none"/>
          <w:lang w:val="en-US" w:bidi="ar-SA"/>
        </w:rPr>
        <w:t>推进自然灾害综合风险监测预警信息化建设，形成自然灾害监测预警合力。强化预警和应急响应联动，完善直达基层责任人的预警“叫应”和跟踪反馈机制。推动建立重点林区雷击火预警系统。加强中小流域极端暴雨洪涝综合应急监测能力建设。推进地质灾害自动化监测和气象风险预警网络建设。(自然资源</w:t>
      </w:r>
      <w:r>
        <w:rPr>
          <w:rFonts w:hint="eastAsia" w:ascii="仿宋_GB2312" w:hAnsi="楷体_GB2312" w:eastAsia="仿宋_GB2312" w:cs="楷体_GB2312"/>
          <w:color w:val="000000"/>
          <w:kern w:val="2"/>
          <w:sz w:val="32"/>
          <w:szCs w:val="32"/>
          <w:u w:val="none"/>
          <w:lang w:val="en-US" w:eastAsia="zh-CN" w:bidi="ar-SA"/>
        </w:rPr>
        <w:t>局</w:t>
      </w:r>
      <w:r>
        <w:rPr>
          <w:rFonts w:hint="eastAsia" w:ascii="仿宋_GB2312" w:hAnsi="楷体_GB2312" w:eastAsia="仿宋_GB2312" w:cs="楷体_GB2312"/>
          <w:color w:val="000000"/>
          <w:kern w:val="2"/>
          <w:sz w:val="32"/>
          <w:szCs w:val="32"/>
          <w:u w:val="none"/>
          <w:lang w:val="en-US" w:bidi="ar-SA"/>
        </w:rPr>
        <w:t>、水利</w:t>
      </w:r>
      <w:r>
        <w:rPr>
          <w:rFonts w:hint="eastAsia" w:ascii="仿宋_GB2312" w:hAnsi="楷体_GB2312" w:eastAsia="仿宋_GB2312" w:cs="楷体_GB2312"/>
          <w:color w:val="000000"/>
          <w:kern w:val="2"/>
          <w:sz w:val="32"/>
          <w:szCs w:val="32"/>
          <w:u w:val="none"/>
          <w:lang w:val="en-US" w:eastAsia="zh-CN" w:bidi="ar-SA"/>
        </w:rPr>
        <w:t>局</w:t>
      </w:r>
      <w:r>
        <w:rPr>
          <w:rFonts w:hint="eastAsia" w:ascii="仿宋_GB2312" w:hAnsi="楷体_GB2312" w:eastAsia="仿宋_GB2312" w:cs="楷体_GB2312"/>
          <w:color w:val="000000"/>
          <w:kern w:val="2"/>
          <w:sz w:val="32"/>
          <w:szCs w:val="32"/>
          <w:u w:val="none"/>
          <w:lang w:val="en-US" w:bidi="ar-SA"/>
        </w:rPr>
        <w:t>、应急</w:t>
      </w:r>
      <w:r>
        <w:rPr>
          <w:rFonts w:hint="eastAsia" w:ascii="仿宋_GB2312" w:hAnsi="楷体_GB2312" w:eastAsia="仿宋_GB2312" w:cs="楷体_GB2312"/>
          <w:color w:val="000000"/>
          <w:kern w:val="2"/>
          <w:sz w:val="32"/>
          <w:szCs w:val="32"/>
          <w:u w:val="none"/>
          <w:lang w:val="en-US" w:eastAsia="zh-CN" w:bidi="ar-SA"/>
        </w:rPr>
        <w:t>局</w:t>
      </w:r>
      <w:r>
        <w:rPr>
          <w:rFonts w:hint="eastAsia" w:ascii="仿宋_GB2312" w:hAnsi="楷体_GB2312" w:eastAsia="仿宋_GB2312" w:cs="楷体_GB2312"/>
          <w:color w:val="000000"/>
          <w:kern w:val="2"/>
          <w:sz w:val="32"/>
          <w:szCs w:val="32"/>
          <w:u w:val="none"/>
          <w:lang w:val="en-US" w:bidi="ar-SA"/>
        </w:rPr>
        <w:t>等部门分工负责)</w:t>
      </w:r>
    </w:p>
    <w:p w14:paraId="2C468F42">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r>
        <w:rPr>
          <w:rStyle w:val="48"/>
          <w:rFonts w:hint="eastAsia" w:ascii="楷体_GB2312" w:hAnsi="楷体_GB2312" w:eastAsia="楷体_GB2312" w:cs="楷体_GB2312"/>
          <w:b/>
          <w:bCs/>
          <w:color w:val="000000"/>
          <w:kern w:val="2"/>
          <w:sz w:val="32"/>
          <w:szCs w:val="32"/>
          <w:u w:val="none"/>
          <w:lang w:val="en-US" w:eastAsia="zh-CN" w:bidi="ar-SA"/>
        </w:rPr>
        <w:t>（十七）修订应急预案。</w:t>
      </w:r>
      <w:bookmarkEnd w:id="63"/>
      <w:bookmarkEnd w:id="64"/>
      <w:bookmarkEnd w:id="65"/>
      <w:r>
        <w:rPr>
          <w:rFonts w:hint="eastAsia" w:ascii="仿宋_GB2312" w:hAnsi="楷体_GB2312" w:eastAsia="仿宋_GB2312" w:cs="楷体_GB2312"/>
          <w:color w:val="000000"/>
          <w:kern w:val="2"/>
          <w:sz w:val="32"/>
          <w:szCs w:val="32"/>
          <w:u w:val="none"/>
          <w:lang w:val="en-US" w:eastAsia="zh-CN" w:bidi="ar-SA"/>
        </w:rPr>
        <w:t>修订区级</w:t>
      </w:r>
      <w:r>
        <w:rPr>
          <w:rFonts w:hint="eastAsia" w:ascii="仿宋_GB2312" w:hAnsi="楷体_GB2312" w:eastAsia="仿宋_GB2312" w:cs="楷体_GB2312"/>
          <w:color w:val="000000"/>
          <w:kern w:val="2"/>
          <w:sz w:val="32"/>
          <w:szCs w:val="32"/>
          <w:u w:val="none"/>
          <w:lang w:val="en-US" w:bidi="ar-SA"/>
        </w:rPr>
        <w:t>突发事件总体应急预案</w:t>
      </w:r>
      <w:r>
        <w:rPr>
          <w:rFonts w:hint="eastAsia" w:ascii="仿宋_GB2312" w:hAnsi="楷体_GB2312" w:eastAsia="仿宋_GB2312" w:cs="楷体_GB2312"/>
          <w:color w:val="000000"/>
          <w:kern w:val="2"/>
          <w:sz w:val="32"/>
          <w:szCs w:val="32"/>
          <w:u w:val="none"/>
          <w:lang w:val="en-US" w:eastAsia="zh-CN" w:bidi="ar-SA"/>
        </w:rPr>
        <w:t>，适时修编安全生产、火灾、地震、地质灾害、低温雨雪冰冻灾害和应急物资保障等专项预案；相关部门要结合我区灾害事故风险特点，指导乡镇（街道）编制并动态修订上下衔接的综合应急预案、专项应急预案和简明实用的村（社区）“一制三案”（突发事件应急包保责任制和防火、防汛、防地震地质灾害应急预案），制定重点岗位应急处置卡。实现应急培训手册化、应急处置图表化、应急指挥卡片化。区政府牵头年内至少组织开展一次综合性演练。督促企业定期开展应急演练。（安委会有关成员单位负责）</w:t>
      </w:r>
    </w:p>
    <w:p w14:paraId="5B12A3B1">
      <w:pPr>
        <w:widowControl w:val="0"/>
        <w:wordWrap/>
        <w:adjustRightInd/>
        <w:snapToGrid/>
        <w:spacing w:beforeAutospacing="0" w:afterAutospacing="0" w:line="600" w:lineRule="exact"/>
        <w:ind w:right="0"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bookmarkStart w:id="66" w:name="_Toc1617"/>
      <w:bookmarkStart w:id="67" w:name="_Toc15800"/>
      <w:bookmarkStart w:id="68" w:name="_Toc24549"/>
      <w:r>
        <w:rPr>
          <w:rStyle w:val="48"/>
          <w:rFonts w:hint="eastAsia" w:ascii="楷体_GB2312" w:hAnsi="楷体_GB2312" w:eastAsia="楷体_GB2312" w:cs="楷体_GB2312"/>
          <w:b/>
          <w:bCs/>
          <w:color w:val="000000"/>
          <w:kern w:val="2"/>
          <w:sz w:val="32"/>
          <w:szCs w:val="32"/>
          <w:u w:val="none"/>
          <w:lang w:val="en-US" w:eastAsia="zh-CN" w:bidi="ar-SA"/>
        </w:rPr>
        <w:t>（十八）加强队伍建设。</w:t>
      </w:r>
      <w:bookmarkEnd w:id="66"/>
      <w:bookmarkEnd w:id="67"/>
      <w:bookmarkEnd w:id="68"/>
      <w:r>
        <w:rPr>
          <w:rFonts w:hint="eastAsia" w:ascii="仿宋_GB2312" w:hAnsi="楷体_GB2312" w:eastAsia="仿宋_GB2312" w:cs="楷体_GB2312"/>
          <w:sz w:val="32"/>
          <w:szCs w:val="32"/>
          <w:lang w:eastAsia="zh-CN"/>
        </w:rPr>
        <w:t>深化</w:t>
      </w:r>
      <w:r>
        <w:rPr>
          <w:rFonts w:hint="eastAsia" w:ascii="仿宋_GB2312" w:hAnsi="楷体_GB2312" w:eastAsia="仿宋_GB2312" w:cs="楷体_GB2312"/>
          <w:sz w:val="32"/>
          <w:szCs w:val="32"/>
        </w:rPr>
        <w:t>“企业安全管理、</w:t>
      </w:r>
      <w:r>
        <w:rPr>
          <w:rFonts w:hint="eastAsia" w:ascii="仿宋_GB2312" w:hAnsi="楷体_GB2312" w:eastAsia="仿宋_GB2312" w:cs="楷体_GB2312"/>
          <w:sz w:val="32"/>
          <w:szCs w:val="32"/>
          <w:lang w:eastAsia="zh-CN"/>
        </w:rPr>
        <w:t>全员</w:t>
      </w:r>
      <w:r>
        <w:rPr>
          <w:rFonts w:hint="eastAsia" w:ascii="仿宋_GB2312" w:hAnsi="楷体_GB2312" w:eastAsia="仿宋_GB2312" w:cs="楷体_GB2312"/>
          <w:sz w:val="32"/>
          <w:szCs w:val="32"/>
        </w:rPr>
        <w:t>安全素质、部门安全监管”提档升级工程，进一步巩固基础、弥补短板、扩面提质，提高本质安全水平。完善基层应急管理和消防组织体系，加强人员力量配备。</w:t>
      </w:r>
      <w:r>
        <w:rPr>
          <w:rFonts w:hint="eastAsia" w:ascii="仿宋_GB2312" w:hAnsi="楷体_GB2312" w:eastAsia="仿宋_GB2312" w:cs="楷体_GB2312"/>
          <w:color w:val="000000"/>
          <w:kern w:val="2"/>
          <w:sz w:val="32"/>
          <w:szCs w:val="32"/>
          <w:u w:val="none"/>
          <w:lang w:val="en-US" w:eastAsia="zh-CN" w:bidi="ar-SA"/>
        </w:rPr>
        <w:t>开展基层防灾能力提升项目建设，加快补齐应急救援队伍装备短板。加强综合性消防救援队伍、森林防灭火队伍，以及企业专职和基层专兼职应急救援力量建设，整合专业救援队伍成为新型综合性救援队伍。推进综合救援力量建设，全力打造“一专多能型”综合应急救援力量。开展社会应急力量分类分级测评工作，不断完善“综合+专业+社会”应急救援力量体系。（自然资源局、应急局、消防救援大队、</w:t>
      </w:r>
      <w:r>
        <w:rPr>
          <w:rFonts w:hint="eastAsia" w:ascii="仿宋_GB2312" w:hAnsi="楷体_GB2312" w:eastAsia="仿宋_GB2312" w:cs="楷体_GB2312"/>
          <w:sz w:val="32"/>
          <w:szCs w:val="32"/>
        </w:rPr>
        <w:t>发改委、财政局</w:t>
      </w:r>
      <w:r>
        <w:rPr>
          <w:rFonts w:hint="eastAsia" w:ascii="仿宋_GB2312" w:hAnsi="楷体_GB2312" w:eastAsia="仿宋_GB2312" w:cs="楷体_GB2312"/>
          <w:color w:val="000000"/>
          <w:kern w:val="2"/>
          <w:sz w:val="32"/>
          <w:szCs w:val="32"/>
          <w:u w:val="none"/>
          <w:lang w:val="en-US" w:eastAsia="zh-CN" w:bidi="ar-SA"/>
        </w:rPr>
        <w:t>等部门分工负责）</w:t>
      </w:r>
    </w:p>
    <w:p w14:paraId="59584C69">
      <w:pPr>
        <w:widowControl w:val="0"/>
        <w:numPr>
          <w:ilvl w:val="0"/>
          <w:numId w:val="0"/>
        </w:numPr>
        <w:wordWrap/>
        <w:adjustRightInd/>
        <w:snapToGrid/>
        <w:spacing w:line="600" w:lineRule="exact"/>
        <w:ind w:firstLine="643" w:firstLineChars="200"/>
        <w:textAlignment w:val="auto"/>
        <w:rPr>
          <w:rFonts w:hint="eastAsia" w:ascii="仿宋_GB2312" w:hAnsi="楷体_GB2312" w:eastAsia="仿宋_GB2312" w:cs="楷体_GB2312"/>
          <w:color w:val="000000"/>
          <w:kern w:val="2"/>
          <w:sz w:val="32"/>
          <w:szCs w:val="32"/>
          <w:u w:val="none"/>
          <w:lang w:val="en-US" w:eastAsia="zh-CN" w:bidi="ar-SA"/>
        </w:rPr>
      </w:pPr>
      <w:bookmarkStart w:id="69" w:name="_Toc6562"/>
      <w:bookmarkStart w:id="70" w:name="_Toc3856"/>
      <w:bookmarkStart w:id="71" w:name="_Toc3790"/>
      <w:r>
        <w:rPr>
          <w:rStyle w:val="48"/>
          <w:rFonts w:hint="eastAsia" w:ascii="楷体_GB2312" w:hAnsi="楷体_GB2312" w:eastAsia="楷体_GB2312" w:cs="楷体_GB2312"/>
          <w:b/>
          <w:bCs/>
          <w:color w:val="000000"/>
          <w:kern w:val="2"/>
          <w:sz w:val="32"/>
          <w:szCs w:val="32"/>
          <w:u w:val="none"/>
          <w:lang w:val="en-US" w:eastAsia="zh-CN" w:bidi="ar-SA"/>
        </w:rPr>
        <w:t>（十九）</w:t>
      </w:r>
      <w:r>
        <w:rPr>
          <w:rFonts w:hint="eastAsia" w:ascii="楷体" w:hAnsi="楷体" w:eastAsia="楷体" w:cs="楷体"/>
          <w:b/>
          <w:bCs/>
          <w:sz w:val="32"/>
          <w:szCs w:val="32"/>
          <w:lang w:val="en-US" w:eastAsia="zh-CN"/>
        </w:rPr>
        <w:t>配齐应急装备</w:t>
      </w:r>
      <w:r>
        <w:rPr>
          <w:rStyle w:val="48"/>
          <w:rFonts w:hint="eastAsia" w:ascii="楷体" w:hAnsi="楷体" w:eastAsia="楷体" w:cs="楷体"/>
          <w:b/>
          <w:bCs/>
          <w:color w:val="000000"/>
          <w:kern w:val="2"/>
          <w:sz w:val="32"/>
          <w:szCs w:val="32"/>
          <w:u w:val="none"/>
          <w:lang w:val="en-US" w:eastAsia="zh-CN" w:bidi="ar-SA"/>
        </w:rPr>
        <w:t>。</w:t>
      </w:r>
      <w:bookmarkEnd w:id="69"/>
      <w:bookmarkEnd w:id="70"/>
      <w:bookmarkEnd w:id="71"/>
      <w:r>
        <w:rPr>
          <w:rFonts w:hint="eastAsia" w:ascii="仿宋_GB2312" w:hAnsi="楷体_GB2312" w:eastAsia="仿宋_GB2312" w:cs="楷体_GB2312"/>
          <w:color w:val="000000"/>
          <w:kern w:val="2"/>
          <w:sz w:val="32"/>
          <w:szCs w:val="32"/>
          <w:u w:val="none"/>
          <w:lang w:val="en-US" w:eastAsia="zh-CN" w:bidi="ar-SA"/>
        </w:rPr>
        <w:t>实施基层防灾工程项目，进一步提升基层应急救援队伍的装备水平和救援能力。采取政府支持、企业自主、社会援助等方式，为应急救援队伍配备急需的的高层灭火救援、城市防汛排涝等先进适用的装备器材。在重点区域和高风险乡镇（街道）、村（社区）配备卫星通信终端、险情监控、救生防护等必要物资装备。（应急局、消防救援大队、水利局、财政局等部门分工负责）</w:t>
      </w:r>
    </w:p>
    <w:p w14:paraId="3160B78E">
      <w:pPr>
        <w:widowControl w:val="0"/>
        <w:wordWrap/>
        <w:adjustRightInd/>
        <w:snapToGrid/>
        <w:spacing w:beforeAutospacing="0" w:afterAutospacing="0" w:line="600" w:lineRule="exact"/>
        <w:ind w:right="0" w:firstLine="643" w:firstLineChars="200"/>
        <w:textAlignment w:val="auto"/>
        <w:outlineLvl w:val="9"/>
        <w:rPr>
          <w:rFonts w:hint="default" w:ascii="仿宋_GB2312" w:hAnsi="楷体_GB2312" w:eastAsia="仿宋_GB2312" w:cs="楷体_GB2312"/>
          <w:color w:val="000000"/>
          <w:kern w:val="2"/>
          <w:sz w:val="32"/>
          <w:szCs w:val="32"/>
          <w:u w:val="none"/>
          <w:lang w:val="en-US" w:eastAsia="zh-CN" w:bidi="ar-SA"/>
        </w:rPr>
      </w:pPr>
      <w:bookmarkStart w:id="72" w:name="_Toc25947"/>
      <w:bookmarkStart w:id="73" w:name="_Toc13226"/>
      <w:bookmarkStart w:id="74" w:name="_Toc25911"/>
      <w:r>
        <w:rPr>
          <w:rStyle w:val="48"/>
          <w:rFonts w:hint="eastAsia" w:ascii="楷体_GB2312" w:hAnsi="楷体_GB2312" w:eastAsia="楷体_GB2312" w:cs="楷体_GB2312"/>
          <w:b/>
          <w:bCs/>
          <w:color w:val="000000"/>
          <w:kern w:val="2"/>
          <w:sz w:val="32"/>
          <w:szCs w:val="32"/>
          <w:u w:val="none"/>
          <w:lang w:val="en-US" w:eastAsia="zh-CN" w:bidi="ar-SA"/>
        </w:rPr>
        <w:t>（二十）</w:t>
      </w:r>
      <w:bookmarkEnd w:id="72"/>
      <w:r>
        <w:rPr>
          <w:rStyle w:val="48"/>
          <w:rFonts w:hint="eastAsia" w:ascii="楷体_GB2312" w:hAnsi="楷体_GB2312" w:eastAsia="楷体_GB2312" w:cs="楷体_GB2312"/>
          <w:b/>
          <w:bCs/>
          <w:color w:val="000000"/>
          <w:kern w:val="2"/>
          <w:sz w:val="32"/>
          <w:szCs w:val="32"/>
          <w:u w:val="none"/>
          <w:lang w:val="en-US" w:bidi="ar-SA"/>
        </w:rPr>
        <w:t>加强基地</w:t>
      </w:r>
      <w:r>
        <w:rPr>
          <w:rStyle w:val="48"/>
          <w:rFonts w:hint="eastAsia" w:ascii="楷体_GB2312" w:hAnsi="楷体_GB2312" w:eastAsia="楷体_GB2312" w:cs="楷体_GB2312"/>
          <w:b/>
          <w:bCs/>
          <w:color w:val="000000"/>
          <w:kern w:val="2"/>
          <w:sz w:val="32"/>
          <w:szCs w:val="32"/>
          <w:u w:val="none"/>
          <w:lang w:val="en-US" w:eastAsia="zh-CN" w:bidi="ar-SA"/>
        </w:rPr>
        <w:t>建设</w:t>
      </w:r>
      <w:r>
        <w:rPr>
          <w:rStyle w:val="48"/>
          <w:rFonts w:hint="eastAsia" w:ascii="楷体_GB2312" w:hAnsi="楷体_GB2312" w:eastAsia="楷体_GB2312" w:cs="楷体_GB2312"/>
          <w:b/>
          <w:bCs/>
          <w:color w:val="000000"/>
          <w:kern w:val="2"/>
          <w:sz w:val="32"/>
          <w:szCs w:val="32"/>
          <w:u w:val="none"/>
          <w:lang w:val="en-US" w:bidi="ar-SA"/>
        </w:rPr>
        <w:t>。</w:t>
      </w:r>
      <w:bookmarkEnd w:id="73"/>
      <w:bookmarkEnd w:id="74"/>
      <w:r>
        <w:rPr>
          <w:rFonts w:hint="eastAsia" w:ascii="仿宋_GB2312" w:hAnsi="楷体_GB2312" w:eastAsia="仿宋_GB2312" w:cs="楷体_GB2312"/>
          <w:color w:val="000000"/>
          <w:kern w:val="2"/>
          <w:sz w:val="32"/>
          <w:szCs w:val="32"/>
          <w:u w:val="none"/>
          <w:lang w:val="en-US" w:bidi="ar-SA"/>
        </w:rPr>
        <w:t>合理规划</w:t>
      </w:r>
      <w:r>
        <w:rPr>
          <w:rFonts w:hint="eastAsia" w:ascii="仿宋_GB2312" w:hAnsi="楷体_GB2312" w:eastAsia="仿宋_GB2312" w:cs="楷体_GB2312"/>
          <w:color w:val="000000"/>
          <w:kern w:val="2"/>
          <w:sz w:val="32"/>
          <w:szCs w:val="32"/>
          <w:u w:val="none"/>
          <w:lang w:val="en-US" w:eastAsia="zh-CN" w:bidi="ar-SA"/>
        </w:rPr>
        <w:t>建设</w:t>
      </w:r>
      <w:r>
        <w:rPr>
          <w:rFonts w:hint="eastAsia" w:ascii="仿宋_GB2312" w:hAnsi="楷体_GB2312" w:eastAsia="仿宋_GB2312" w:cs="楷体_GB2312"/>
          <w:color w:val="000000"/>
          <w:kern w:val="2"/>
          <w:sz w:val="32"/>
          <w:szCs w:val="32"/>
          <w:u w:val="none"/>
          <w:lang w:val="en-US" w:bidi="ar-SA"/>
        </w:rPr>
        <w:t>应急物资储备点</w:t>
      </w:r>
      <w:r>
        <w:rPr>
          <w:rFonts w:hint="eastAsia" w:ascii="仿宋_GB2312" w:hAnsi="楷体_GB2312" w:eastAsia="仿宋_GB2312" w:cs="楷体_GB2312"/>
          <w:color w:val="000000"/>
          <w:kern w:val="2"/>
          <w:sz w:val="32"/>
          <w:szCs w:val="32"/>
          <w:u w:val="none"/>
          <w:lang w:val="en-US" w:eastAsia="zh-CN" w:bidi="ar-SA"/>
        </w:rPr>
        <w:t>，</w:t>
      </w:r>
      <w:r>
        <w:rPr>
          <w:rFonts w:hint="eastAsia" w:ascii="仿宋_GB2312" w:hAnsi="楷体_GB2312" w:eastAsia="仿宋_GB2312" w:cs="楷体_GB2312"/>
          <w:color w:val="000000"/>
          <w:kern w:val="2"/>
          <w:sz w:val="32"/>
          <w:szCs w:val="32"/>
          <w:u w:val="none"/>
          <w:lang w:val="en-US" w:bidi="ar-SA"/>
        </w:rPr>
        <w:t>对市场保有量充足、保质期短、养护成本高的物资，</w:t>
      </w:r>
      <w:r>
        <w:rPr>
          <w:rFonts w:hint="eastAsia" w:ascii="仿宋_GB2312" w:hAnsi="楷体_GB2312" w:eastAsia="仿宋_GB2312" w:cs="楷体_GB2312"/>
          <w:color w:val="000000"/>
          <w:kern w:val="2"/>
          <w:sz w:val="32"/>
          <w:szCs w:val="32"/>
          <w:u w:val="none"/>
          <w:lang w:val="en-US" w:eastAsia="zh-CN" w:bidi="ar-SA"/>
        </w:rPr>
        <w:t>采取实物与协议相结合的方式进行储备</w:t>
      </w:r>
      <w:r>
        <w:rPr>
          <w:rFonts w:hint="eastAsia" w:ascii="仿宋_GB2312" w:hAnsi="楷体_GB2312" w:eastAsia="仿宋_GB2312" w:cs="楷体_GB2312"/>
          <w:color w:val="000000"/>
          <w:kern w:val="2"/>
          <w:sz w:val="32"/>
          <w:szCs w:val="32"/>
          <w:u w:val="none"/>
          <w:lang w:val="en-US" w:bidi="ar-SA"/>
        </w:rPr>
        <w:t>。建立健全跨部门应急物资调拨协调机制，</w:t>
      </w:r>
      <w:r>
        <w:rPr>
          <w:rFonts w:hint="eastAsia" w:ascii="仿宋_GB2312" w:hAnsi="楷体_GB2312" w:eastAsia="仿宋_GB2312" w:cs="楷体_GB2312"/>
          <w:color w:val="000000"/>
          <w:kern w:val="2"/>
          <w:sz w:val="32"/>
          <w:szCs w:val="32"/>
          <w:u w:val="none"/>
          <w:lang w:val="en-US" w:eastAsia="zh-CN" w:bidi="ar-SA"/>
        </w:rPr>
        <w:t>做好冬春救助和应急救助工作</w:t>
      </w:r>
      <w:r>
        <w:rPr>
          <w:rFonts w:hint="eastAsia" w:ascii="仿宋_GB2312" w:hAnsi="楷体_GB2312" w:eastAsia="仿宋_GB2312" w:cs="楷体_GB2312"/>
          <w:color w:val="000000"/>
          <w:kern w:val="2"/>
          <w:sz w:val="32"/>
          <w:szCs w:val="32"/>
          <w:u w:val="none"/>
          <w:lang w:val="en-US" w:bidi="ar-SA"/>
        </w:rPr>
        <w:t>。</w:t>
      </w:r>
      <w:r>
        <w:rPr>
          <w:rFonts w:hint="eastAsia" w:ascii="仿宋_GB2312" w:hAnsi="楷体_GB2312" w:eastAsia="仿宋_GB2312" w:cs="楷体_GB2312"/>
          <w:color w:val="000000"/>
          <w:kern w:val="2"/>
          <w:sz w:val="32"/>
          <w:szCs w:val="32"/>
          <w:u w:val="none"/>
          <w:lang w:val="en-US" w:eastAsia="zh-CN" w:bidi="ar-SA"/>
        </w:rPr>
        <w:t>科学规划并推动建设能够满足森林火灾救援的停机坪、取水点、防火应急通道。编制应急避难场所专项规划，年底前力争每个村（社区）至少建成1处应急避难场所。（交通运输局、应急局、水利局、发改科技局、自然资源局等部门分工负责）</w:t>
      </w:r>
    </w:p>
    <w:p w14:paraId="5014296E">
      <w:pPr>
        <w:pStyle w:val="2"/>
        <w:widowControl w:val="0"/>
        <w:wordWrap/>
        <w:adjustRightInd/>
        <w:snapToGrid/>
        <w:spacing w:before="0" w:beforeAutospacing="0" w:after="0" w:afterAutospacing="0" w:line="600" w:lineRule="exact"/>
        <w:ind w:firstLine="643" w:firstLineChars="200"/>
        <w:textAlignment w:val="auto"/>
        <w:rPr>
          <w:rFonts w:hint="default" w:ascii="黑体" w:hAnsi="黑体" w:eastAsia="黑体" w:cs="黑体"/>
          <w:color w:val="000000"/>
          <w:sz w:val="32"/>
          <w:szCs w:val="32"/>
          <w:u w:val="none"/>
          <w:lang w:val="en-US" w:eastAsia="zh-CN"/>
        </w:rPr>
      </w:pPr>
      <w:bookmarkStart w:id="75" w:name="_Toc30557"/>
      <w:bookmarkStart w:id="76" w:name="_Toc9083"/>
      <w:bookmarkStart w:id="77" w:name="_Toc17194"/>
      <w:r>
        <w:rPr>
          <w:rFonts w:hint="eastAsia" w:ascii="黑体" w:hAnsi="黑体" w:eastAsia="黑体" w:cs="黑体"/>
          <w:color w:val="000000"/>
          <w:sz w:val="32"/>
          <w:szCs w:val="32"/>
          <w:u w:val="none"/>
          <w:lang w:val="en-US" w:eastAsia="zh-CN"/>
        </w:rPr>
        <w:t>七、</w:t>
      </w:r>
      <w:bookmarkEnd w:id="75"/>
      <w:r>
        <w:rPr>
          <w:rFonts w:hint="eastAsia" w:ascii="黑体" w:hAnsi="黑体" w:eastAsia="黑体" w:cs="黑体"/>
          <w:color w:val="000000"/>
          <w:sz w:val="32"/>
          <w:szCs w:val="32"/>
          <w:u w:val="none"/>
          <w:lang w:val="en-US" w:eastAsia="zh-CN"/>
        </w:rPr>
        <w:t>提升能力素质</w:t>
      </w:r>
      <w:bookmarkEnd w:id="76"/>
      <w:bookmarkEnd w:id="77"/>
      <w:r>
        <w:rPr>
          <w:rFonts w:hint="eastAsia" w:ascii="黑体" w:hAnsi="黑体" w:eastAsia="黑体" w:cs="黑体"/>
          <w:color w:val="000000"/>
          <w:sz w:val="32"/>
          <w:szCs w:val="32"/>
          <w:u w:val="none"/>
          <w:lang w:val="en-US" w:eastAsia="zh-CN"/>
        </w:rPr>
        <w:t>，全领域锤炼过硬本领</w:t>
      </w:r>
    </w:p>
    <w:p w14:paraId="00CDCB95">
      <w:pPr>
        <w:widowControl w:val="0"/>
        <w:wordWrap/>
        <w:adjustRightInd/>
        <w:snapToGrid/>
        <w:spacing w:beforeAutospacing="0" w:afterAutospacing="0" w:line="600" w:lineRule="exact"/>
        <w:ind w:right="0" w:firstLine="643" w:firstLineChars="200"/>
        <w:textAlignment w:val="auto"/>
        <w:outlineLvl w:val="9"/>
        <w:rPr>
          <w:rFonts w:hint="default" w:ascii="仿宋_GB2312" w:hAnsi="楷体_GB2312" w:eastAsia="仿宋_GB2312" w:cs="楷体_GB2312"/>
          <w:color w:val="000000"/>
          <w:kern w:val="2"/>
          <w:sz w:val="32"/>
          <w:szCs w:val="32"/>
          <w:u w:val="none"/>
          <w:lang w:val="en-US" w:eastAsia="zh-CN" w:bidi="ar-SA"/>
        </w:rPr>
      </w:pPr>
      <w:bookmarkStart w:id="78" w:name="_Toc9073"/>
      <w:bookmarkStart w:id="79" w:name="_Toc1823"/>
      <w:bookmarkStart w:id="80" w:name="_Toc3905"/>
      <w:r>
        <w:rPr>
          <w:rStyle w:val="48"/>
          <w:rFonts w:hint="eastAsia" w:ascii="楷体_GB2312" w:hAnsi="楷体_GB2312" w:eastAsia="楷体_GB2312" w:cs="楷体_GB2312"/>
          <w:b/>
          <w:bCs/>
          <w:color w:val="000000"/>
          <w:kern w:val="2"/>
          <w:sz w:val="32"/>
          <w:szCs w:val="32"/>
          <w:u w:val="none"/>
          <w:lang w:val="en-US" w:eastAsia="zh-CN" w:bidi="ar-SA"/>
        </w:rPr>
        <w:t>（二十一）开展实战练兵。</w:t>
      </w:r>
      <w:bookmarkEnd w:id="78"/>
      <w:bookmarkEnd w:id="79"/>
      <w:bookmarkEnd w:id="80"/>
      <w:r>
        <w:rPr>
          <w:rFonts w:hint="eastAsia" w:ascii="仿宋_GB2312" w:hAnsi="楷体_GB2312" w:eastAsia="仿宋_GB2312" w:cs="楷体_GB2312"/>
          <w:color w:val="000000"/>
          <w:kern w:val="2"/>
          <w:sz w:val="32"/>
          <w:szCs w:val="32"/>
          <w:u w:val="none"/>
          <w:lang w:val="en-US" w:bidi="ar-SA"/>
        </w:rPr>
        <w:t>以建设应急指挥一流、应急队伍一流、应急装备一流为目标，加强各类救援队伍</w:t>
      </w:r>
      <w:r>
        <w:rPr>
          <w:rFonts w:hint="eastAsia" w:ascii="仿宋_GB2312" w:hAnsi="楷体_GB2312" w:eastAsia="仿宋_GB2312" w:cs="楷体_GB2312"/>
          <w:color w:val="000000"/>
          <w:kern w:val="2"/>
          <w:sz w:val="32"/>
          <w:szCs w:val="32"/>
          <w:u w:val="none"/>
          <w:lang w:val="en-US" w:eastAsia="zh-CN" w:bidi="ar-SA"/>
        </w:rPr>
        <w:t>之</w:t>
      </w:r>
      <w:r>
        <w:rPr>
          <w:rFonts w:hint="eastAsia" w:ascii="仿宋_GB2312" w:hAnsi="楷体_GB2312" w:eastAsia="仿宋_GB2312" w:cs="楷体_GB2312"/>
          <w:color w:val="000000"/>
          <w:kern w:val="2"/>
          <w:sz w:val="32"/>
          <w:szCs w:val="32"/>
          <w:u w:val="none"/>
          <w:lang w:val="en-US" w:bidi="ar-SA"/>
        </w:rPr>
        <w:t>间的联勤、联训、联演、联战，开展大练兵活动。针对重点行业</w:t>
      </w:r>
      <w:r>
        <w:rPr>
          <w:rFonts w:hint="eastAsia" w:ascii="仿宋_GB2312" w:hAnsi="楷体_GB2312" w:eastAsia="仿宋_GB2312" w:cs="楷体_GB2312"/>
          <w:color w:val="000000"/>
          <w:kern w:val="2"/>
          <w:sz w:val="32"/>
          <w:szCs w:val="32"/>
          <w:u w:val="none"/>
          <w:lang w:val="en-US" w:eastAsia="zh-CN" w:bidi="ar-SA"/>
        </w:rPr>
        <w:t>领域或重大自然灾害</w:t>
      </w:r>
      <w:r>
        <w:rPr>
          <w:rFonts w:hint="eastAsia" w:ascii="仿宋_GB2312" w:hAnsi="楷体_GB2312" w:eastAsia="仿宋_GB2312" w:cs="楷体_GB2312"/>
          <w:color w:val="000000"/>
          <w:kern w:val="2"/>
          <w:sz w:val="32"/>
          <w:szCs w:val="32"/>
          <w:u w:val="none"/>
          <w:lang w:val="en-US" w:bidi="ar-SA"/>
        </w:rPr>
        <w:t>至少</w:t>
      </w:r>
      <w:r>
        <w:rPr>
          <w:rFonts w:hint="eastAsia" w:ascii="仿宋_GB2312" w:hAnsi="楷体_GB2312" w:eastAsia="仿宋_GB2312" w:cs="楷体_GB2312"/>
          <w:color w:val="000000"/>
          <w:kern w:val="2"/>
          <w:sz w:val="32"/>
          <w:szCs w:val="32"/>
          <w:u w:val="none"/>
          <w:lang w:val="en-US" w:eastAsia="zh-CN" w:bidi="ar-SA"/>
        </w:rPr>
        <w:t>开展1</w:t>
      </w:r>
      <w:r>
        <w:rPr>
          <w:rFonts w:hint="eastAsia" w:ascii="仿宋_GB2312" w:hAnsi="楷体_GB2312" w:eastAsia="仿宋_GB2312" w:cs="楷体_GB2312"/>
          <w:color w:val="000000"/>
          <w:kern w:val="2"/>
          <w:sz w:val="32"/>
          <w:szCs w:val="32"/>
          <w:u w:val="none"/>
          <w:lang w:val="en-US" w:bidi="ar-SA"/>
        </w:rPr>
        <w:t>次</w:t>
      </w:r>
      <w:r>
        <w:rPr>
          <w:rFonts w:hint="eastAsia" w:ascii="仿宋_GB2312" w:hAnsi="楷体_GB2312" w:eastAsia="仿宋_GB2312" w:cs="楷体_GB2312"/>
          <w:color w:val="000000"/>
          <w:kern w:val="2"/>
          <w:sz w:val="32"/>
          <w:szCs w:val="32"/>
          <w:u w:val="none"/>
          <w:lang w:val="en-US" w:eastAsia="zh-CN" w:bidi="ar-SA"/>
        </w:rPr>
        <w:t>综合性应急</w:t>
      </w:r>
      <w:r>
        <w:rPr>
          <w:rFonts w:hint="eastAsia" w:ascii="仿宋_GB2312" w:hAnsi="楷体_GB2312" w:eastAsia="仿宋_GB2312" w:cs="楷体_GB2312"/>
          <w:color w:val="000000"/>
          <w:kern w:val="2"/>
          <w:sz w:val="32"/>
          <w:szCs w:val="32"/>
          <w:u w:val="none"/>
          <w:lang w:val="en-US" w:bidi="ar-SA"/>
        </w:rPr>
        <w:t>演练</w:t>
      </w:r>
      <w:r>
        <w:rPr>
          <w:rFonts w:hint="eastAsia" w:ascii="仿宋_GB2312" w:hAnsi="楷体_GB2312" w:eastAsia="仿宋_GB2312" w:cs="楷体_GB2312"/>
          <w:color w:val="000000"/>
          <w:kern w:val="2"/>
          <w:sz w:val="32"/>
          <w:szCs w:val="32"/>
          <w:u w:val="none"/>
          <w:lang w:val="en-US" w:eastAsia="zh-CN" w:bidi="ar-SA"/>
        </w:rPr>
        <w:t>。各企事业单位都要针对本单位易发灾害事故种类，组织开展疏散逃生和应急救援演练，熟悉应急逃生疏散通道，提升干部职工自救互救能力。（住建局、交通运输局、水利局、应急局、消防救援大队、自然资源局等部门分工负责）</w:t>
      </w:r>
    </w:p>
    <w:p w14:paraId="58D072C6">
      <w:pPr>
        <w:widowControl w:val="0"/>
        <w:numPr>
          <w:ilvl w:val="0"/>
          <w:numId w:val="0"/>
        </w:numPr>
        <w:wordWrap/>
        <w:adjustRightInd/>
        <w:snapToGrid/>
        <w:spacing w:line="600" w:lineRule="exact"/>
        <w:ind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bookmarkStart w:id="81" w:name="_Toc24015"/>
      <w:bookmarkStart w:id="82" w:name="_Toc15487"/>
      <w:bookmarkStart w:id="83" w:name="_Toc5512"/>
      <w:r>
        <w:rPr>
          <w:rStyle w:val="48"/>
          <w:rFonts w:hint="eastAsia" w:ascii="楷体_GB2312" w:hAnsi="楷体_GB2312" w:eastAsia="楷体_GB2312" w:cs="楷体_GB2312"/>
          <w:b/>
          <w:bCs/>
          <w:color w:val="000000"/>
          <w:kern w:val="2"/>
          <w:sz w:val="32"/>
          <w:szCs w:val="32"/>
          <w:u w:val="none"/>
          <w:lang w:val="en-US" w:eastAsia="zh-CN" w:bidi="ar-SA"/>
        </w:rPr>
        <w:t>（二十二）开展技能竞赛。</w:t>
      </w:r>
      <w:bookmarkEnd w:id="81"/>
      <w:bookmarkEnd w:id="82"/>
      <w:bookmarkEnd w:id="83"/>
      <w:r>
        <w:rPr>
          <w:rFonts w:hint="eastAsia" w:ascii="仿宋_GB2312" w:hAnsi="楷体_GB2312" w:eastAsia="仿宋_GB2312" w:cs="楷体_GB2312"/>
          <w:color w:val="000000"/>
          <w:kern w:val="2"/>
          <w:sz w:val="32"/>
          <w:szCs w:val="32"/>
          <w:u w:val="none"/>
          <w:lang w:val="en-US" w:eastAsia="zh-CN" w:bidi="ar-SA"/>
        </w:rPr>
        <w:t>编制企业从业人员主要工种考试题库。加强全员分工种、分岗位针对性培训，严格“三项岗位人员”考核，</w:t>
      </w:r>
      <w:r>
        <w:rPr>
          <w:rFonts w:hint="eastAsia" w:ascii="仿宋_GB2312" w:hAnsi="楷体_GB2312" w:eastAsia="仿宋_GB2312" w:cs="楷体_GB2312"/>
          <w:color w:val="000000"/>
          <w:kern w:val="2"/>
          <w:sz w:val="32"/>
          <w:szCs w:val="32"/>
          <w:u w:val="none"/>
          <w:lang w:val="en-US" w:bidi="ar-SA"/>
        </w:rPr>
        <w:t>从业人员未经培训</w:t>
      </w:r>
      <w:r>
        <w:rPr>
          <w:rFonts w:hint="eastAsia" w:ascii="仿宋_GB2312" w:hAnsi="楷体_GB2312" w:eastAsia="仿宋_GB2312" w:cs="楷体_GB2312"/>
          <w:color w:val="000000"/>
          <w:kern w:val="2"/>
          <w:sz w:val="32"/>
          <w:szCs w:val="32"/>
          <w:u w:val="none"/>
          <w:lang w:val="en-US" w:eastAsia="zh-CN" w:bidi="ar-SA"/>
        </w:rPr>
        <w:t>合格</w:t>
      </w:r>
      <w:r>
        <w:rPr>
          <w:rFonts w:hint="eastAsia" w:ascii="仿宋_GB2312" w:hAnsi="楷体_GB2312" w:eastAsia="仿宋_GB2312" w:cs="楷体_GB2312"/>
          <w:color w:val="000000"/>
          <w:kern w:val="2"/>
          <w:sz w:val="32"/>
          <w:szCs w:val="32"/>
          <w:u w:val="none"/>
          <w:lang w:val="en-US" w:bidi="ar-SA"/>
        </w:rPr>
        <w:t>不得上岗</w:t>
      </w:r>
      <w:r>
        <w:rPr>
          <w:rFonts w:hint="eastAsia" w:ascii="仿宋_GB2312" w:hAnsi="楷体_GB2312" w:eastAsia="仿宋_GB2312" w:cs="楷体_GB2312"/>
          <w:color w:val="000000"/>
          <w:kern w:val="2"/>
          <w:sz w:val="32"/>
          <w:szCs w:val="32"/>
          <w:u w:val="none"/>
          <w:lang w:val="en-US" w:eastAsia="zh-CN" w:bidi="ar-SA"/>
        </w:rPr>
        <w:t>。构建“工会＋行业”协同模式，分行业推动安康杯知识竞赛、职工技能比武、控风险除隐患标兵选树等工作，营造崇尚专业，崇尚安全的良好风气。（安委会有关成员单位负责）</w:t>
      </w:r>
      <w:bookmarkStart w:id="84" w:name="_Toc12750"/>
      <w:bookmarkStart w:id="85" w:name="_Toc17474"/>
      <w:bookmarkStart w:id="86" w:name="_Toc2809"/>
    </w:p>
    <w:p w14:paraId="5B65EA62">
      <w:pPr>
        <w:widowControl w:val="0"/>
        <w:numPr>
          <w:ilvl w:val="0"/>
          <w:numId w:val="0"/>
        </w:numPr>
        <w:wordWrap/>
        <w:adjustRightInd/>
        <w:snapToGrid/>
        <w:spacing w:line="600" w:lineRule="exact"/>
        <w:ind w:firstLine="643"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r>
        <w:rPr>
          <w:rStyle w:val="48"/>
          <w:rFonts w:hint="eastAsia" w:ascii="楷体_GB2312" w:hAnsi="楷体_GB2312" w:eastAsia="楷体_GB2312" w:cs="楷体_GB2312"/>
          <w:b/>
          <w:bCs/>
          <w:color w:val="000000"/>
          <w:kern w:val="2"/>
          <w:sz w:val="32"/>
          <w:szCs w:val="32"/>
          <w:u w:val="none"/>
          <w:lang w:val="en-US" w:eastAsia="zh-CN" w:bidi="ar-SA"/>
        </w:rPr>
        <w:t>（二十三）开展执法比武。</w:t>
      </w:r>
      <w:bookmarkEnd w:id="84"/>
      <w:bookmarkEnd w:id="85"/>
      <w:bookmarkEnd w:id="86"/>
      <w:r>
        <w:rPr>
          <w:rFonts w:hint="eastAsia" w:ascii="仿宋_GB2312" w:hAnsi="楷体_GB2312" w:eastAsia="仿宋_GB2312" w:cs="楷体_GB2312"/>
          <w:color w:val="000000"/>
          <w:kern w:val="2"/>
          <w:sz w:val="32"/>
          <w:szCs w:val="32"/>
          <w:u w:val="none"/>
          <w:lang w:val="en-US" w:eastAsia="zh-CN" w:bidi="ar-SA"/>
        </w:rPr>
        <w:t>对标对表先进地区经验做法，采取“走出去看、进校园学、请进来教”等方式，加强干部队伍能力素质建设。以“岗位大练兵、业务大比武”为抓手，综合运用“理论+实操”“严培+严考”“线上+线下”等方式，结合行业领域实际开展负有安全生产监管职责人员执法比武和实战大练兵，应用</w:t>
      </w:r>
      <w:r>
        <w:rPr>
          <w:rFonts w:hint="eastAsia" w:ascii="仿宋_GB2312" w:hAnsi="楷体_GB2312" w:eastAsia="仿宋_GB2312" w:cs="楷体_GB2312"/>
          <w:color w:val="000000"/>
          <w:kern w:val="2"/>
          <w:sz w:val="32"/>
          <w:szCs w:val="32"/>
          <w:u w:val="none"/>
          <w:lang w:val="en-US" w:bidi="ar-SA"/>
        </w:rPr>
        <w:t>“互联网＋执法”系统</w:t>
      </w:r>
      <w:r>
        <w:rPr>
          <w:rFonts w:hint="eastAsia" w:ascii="仿宋_GB2312" w:hAnsi="楷体_GB2312" w:eastAsia="仿宋_GB2312" w:cs="楷体_GB2312"/>
          <w:color w:val="000000"/>
          <w:kern w:val="2"/>
          <w:sz w:val="32"/>
          <w:szCs w:val="32"/>
          <w:u w:val="none"/>
          <w:lang w:val="en-US" w:eastAsia="zh-CN" w:bidi="ar-SA"/>
        </w:rPr>
        <w:t>等</w:t>
      </w:r>
      <w:r>
        <w:rPr>
          <w:rFonts w:hint="eastAsia" w:ascii="仿宋_GB2312" w:hAnsi="楷体_GB2312" w:eastAsia="仿宋_GB2312" w:cs="楷体_GB2312"/>
          <w:color w:val="000000"/>
          <w:kern w:val="2"/>
          <w:sz w:val="32"/>
          <w:szCs w:val="32"/>
          <w:u w:val="none"/>
          <w:lang w:val="en-US" w:bidi="ar-SA"/>
        </w:rPr>
        <w:t>开展案卷评查，</w:t>
      </w:r>
      <w:r>
        <w:rPr>
          <w:rFonts w:hint="eastAsia" w:ascii="仿宋_GB2312" w:hAnsi="楷体_GB2312" w:eastAsia="仿宋_GB2312" w:cs="楷体_GB2312"/>
          <w:color w:val="000000"/>
          <w:kern w:val="2"/>
          <w:sz w:val="32"/>
          <w:szCs w:val="32"/>
          <w:u w:val="none"/>
          <w:lang w:val="en-US" w:eastAsia="zh-CN" w:bidi="ar-SA"/>
        </w:rPr>
        <w:t>不断推动队伍素质与能力的全面提升。（负有安全生产监管职责的部门分工负责）</w:t>
      </w:r>
    </w:p>
    <w:p w14:paraId="1B70C99B">
      <w:pPr>
        <w:widowControl w:val="0"/>
        <w:numPr>
          <w:ilvl w:val="0"/>
          <w:numId w:val="0"/>
        </w:numPr>
        <w:wordWrap/>
        <w:adjustRightInd/>
        <w:snapToGrid/>
        <w:spacing w:line="600" w:lineRule="exact"/>
        <w:ind w:firstLine="640"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p>
    <w:p w14:paraId="3F9AF2F5">
      <w:pPr>
        <w:pStyle w:val="6"/>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000000"/>
          <w:kern w:val="2"/>
          <w:sz w:val="32"/>
          <w:szCs w:val="32"/>
          <w:u w:val="none"/>
          <w:lang w:val="en-US" w:eastAsia="zh-CN" w:bidi="ar-SA"/>
        </w:rPr>
        <w:t>附件：</w:t>
      </w:r>
      <w:r>
        <w:rPr>
          <w:rFonts w:hint="eastAsia" w:ascii="仿宋" w:hAnsi="仿宋" w:eastAsia="仿宋" w:cs="仿宋"/>
          <w:sz w:val="32"/>
          <w:szCs w:val="32"/>
          <w:lang w:val="en-US" w:eastAsia="zh-CN"/>
        </w:rPr>
        <w:t>2025年安全生产工作任务分工</w:t>
      </w:r>
    </w:p>
    <w:p w14:paraId="1FE98CD7">
      <w:pPr>
        <w:rPr>
          <w:rFonts w:hint="eastAsia" w:ascii="仿宋" w:hAnsi="仿宋" w:eastAsia="仿宋" w:cs="仿宋"/>
          <w:sz w:val="32"/>
          <w:szCs w:val="32"/>
          <w:lang w:val="en-US" w:eastAsia="zh-CN"/>
        </w:rPr>
      </w:pPr>
    </w:p>
    <w:p w14:paraId="5583455D">
      <w:pPr>
        <w:pStyle w:val="6"/>
        <w:rPr>
          <w:rFonts w:hint="eastAsia" w:ascii="仿宋" w:hAnsi="仿宋" w:eastAsia="仿宋" w:cs="仿宋"/>
          <w:sz w:val="32"/>
          <w:szCs w:val="32"/>
          <w:lang w:val="en-US" w:eastAsia="zh-CN"/>
        </w:rPr>
      </w:pPr>
    </w:p>
    <w:p w14:paraId="0AC73DFB">
      <w:pPr>
        <w:pStyle w:val="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长治市上党区人民政府</w:t>
      </w:r>
    </w:p>
    <w:p w14:paraId="686D22E5">
      <w:pPr>
        <w:ind w:firstLine="5120" w:firstLineChars="1600"/>
        <w:rPr>
          <w:rFonts w:hint="default"/>
          <w:lang w:val="en-US" w:eastAsia="zh-CN"/>
        </w:rPr>
      </w:pPr>
      <w:r>
        <w:rPr>
          <w:rFonts w:hint="eastAsia" w:ascii="仿宋" w:hAnsi="仿宋" w:eastAsia="仿宋" w:cs="仿宋"/>
          <w:sz w:val="32"/>
          <w:szCs w:val="32"/>
          <w:lang w:val="en-US" w:eastAsia="zh-CN"/>
        </w:rPr>
        <w:t>2025年 月  日</w:t>
      </w:r>
    </w:p>
    <w:p w14:paraId="6D8632FD">
      <w:pPr>
        <w:widowControl w:val="0"/>
        <w:numPr>
          <w:ilvl w:val="0"/>
          <w:numId w:val="0"/>
        </w:numPr>
        <w:wordWrap/>
        <w:adjustRightInd/>
        <w:snapToGrid/>
        <w:spacing w:line="600" w:lineRule="exact"/>
        <w:ind w:firstLine="640"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p>
    <w:p w14:paraId="1FC06207">
      <w:pPr>
        <w:pStyle w:val="6"/>
        <w:rPr>
          <w:rFonts w:hint="eastAsia"/>
          <w:lang w:val="en-US" w:eastAsia="zh-CN"/>
        </w:rPr>
      </w:pPr>
    </w:p>
    <w:p w14:paraId="1902CE91">
      <w:pPr>
        <w:widowControl w:val="0"/>
        <w:numPr>
          <w:ilvl w:val="0"/>
          <w:numId w:val="0"/>
        </w:numPr>
        <w:wordWrap/>
        <w:adjustRightInd/>
        <w:snapToGrid/>
        <w:spacing w:line="600" w:lineRule="exact"/>
        <w:ind w:firstLine="640" w:firstLineChars="200"/>
        <w:textAlignment w:val="auto"/>
        <w:outlineLvl w:val="9"/>
        <w:rPr>
          <w:rFonts w:hint="eastAsia" w:ascii="仿宋_GB2312" w:hAnsi="楷体_GB2312" w:eastAsia="仿宋_GB2312" w:cs="楷体_GB2312"/>
          <w:color w:val="000000"/>
          <w:kern w:val="2"/>
          <w:sz w:val="32"/>
          <w:szCs w:val="32"/>
          <w:u w:val="none"/>
          <w:lang w:val="en-US" w:eastAsia="zh-CN" w:bidi="ar-SA"/>
        </w:rPr>
      </w:pPr>
    </w:p>
    <w:p w14:paraId="54278E66">
      <w:pPr>
        <w:pStyle w:val="26"/>
        <w:rPr>
          <w:rFonts w:hint="eastAsia" w:ascii="仿宋_GB2312" w:hAnsi="楷体_GB2312" w:eastAsia="仿宋_GB2312" w:cs="楷体_GB2312"/>
          <w:color w:val="000000"/>
          <w:kern w:val="2"/>
          <w:sz w:val="32"/>
          <w:szCs w:val="32"/>
          <w:u w:val="none"/>
          <w:lang w:val="en-US" w:eastAsia="zh-CN" w:bidi="ar-SA"/>
        </w:rPr>
      </w:pPr>
    </w:p>
    <w:p w14:paraId="3797363D">
      <w:pPr>
        <w:pStyle w:val="19"/>
        <w:rPr>
          <w:rFonts w:hint="eastAsia" w:ascii="仿宋_GB2312" w:hAnsi="楷体_GB2312" w:eastAsia="仿宋_GB2312" w:cs="楷体_GB2312"/>
          <w:color w:val="000000"/>
          <w:kern w:val="2"/>
          <w:sz w:val="32"/>
          <w:szCs w:val="32"/>
          <w:u w:val="none"/>
          <w:lang w:val="en-US" w:eastAsia="zh-CN" w:bidi="ar-SA"/>
        </w:rPr>
      </w:pPr>
    </w:p>
    <w:p w14:paraId="6E0F2CCC">
      <w:pPr>
        <w:rPr>
          <w:rFonts w:hint="eastAsia" w:ascii="仿宋_GB2312" w:hAnsi="楷体_GB2312" w:eastAsia="仿宋_GB2312" w:cs="楷体_GB2312"/>
          <w:color w:val="000000"/>
          <w:kern w:val="2"/>
          <w:sz w:val="32"/>
          <w:szCs w:val="32"/>
          <w:u w:val="none"/>
          <w:lang w:val="en-US" w:eastAsia="zh-CN" w:bidi="ar-SA"/>
        </w:rPr>
      </w:pPr>
    </w:p>
    <w:p w14:paraId="18E50F9D">
      <w:pPr>
        <w:pStyle w:val="26"/>
        <w:rPr>
          <w:rFonts w:hint="eastAsia" w:ascii="仿宋_GB2312" w:hAnsi="楷体_GB2312" w:eastAsia="仿宋_GB2312" w:cs="楷体_GB2312"/>
          <w:color w:val="000000"/>
          <w:kern w:val="2"/>
          <w:sz w:val="32"/>
          <w:szCs w:val="32"/>
          <w:u w:val="none"/>
          <w:lang w:val="en-US" w:eastAsia="zh-CN" w:bidi="ar-SA"/>
        </w:rPr>
      </w:pPr>
    </w:p>
    <w:p w14:paraId="695A6703">
      <w:pPr>
        <w:pStyle w:val="19"/>
        <w:rPr>
          <w:rFonts w:hint="eastAsia" w:ascii="仿宋_GB2312" w:hAnsi="楷体_GB2312" w:eastAsia="仿宋_GB2312" w:cs="楷体_GB2312"/>
          <w:color w:val="000000"/>
          <w:kern w:val="2"/>
          <w:sz w:val="32"/>
          <w:szCs w:val="32"/>
          <w:u w:val="none"/>
          <w:lang w:val="en-US" w:eastAsia="zh-CN" w:bidi="ar-SA"/>
        </w:rPr>
      </w:pPr>
    </w:p>
    <w:p w14:paraId="48ACBEB4">
      <w:pPr>
        <w:rPr>
          <w:rFonts w:hint="eastAsia" w:ascii="仿宋_GB2312" w:hAnsi="楷体_GB2312" w:eastAsia="仿宋_GB2312" w:cs="楷体_GB2312"/>
          <w:color w:val="000000"/>
          <w:kern w:val="2"/>
          <w:sz w:val="32"/>
          <w:szCs w:val="32"/>
          <w:u w:val="none"/>
          <w:lang w:val="en-US" w:eastAsia="zh-CN" w:bidi="ar-SA"/>
        </w:rPr>
      </w:pPr>
    </w:p>
    <w:p w14:paraId="18AD4624">
      <w:pPr>
        <w:pStyle w:val="26"/>
        <w:rPr>
          <w:rFonts w:hint="eastAsia" w:ascii="仿宋_GB2312" w:hAnsi="楷体_GB2312" w:eastAsia="仿宋_GB2312" w:cs="楷体_GB2312"/>
          <w:color w:val="000000"/>
          <w:kern w:val="2"/>
          <w:sz w:val="32"/>
          <w:szCs w:val="32"/>
          <w:u w:val="none"/>
          <w:lang w:val="en-US" w:eastAsia="zh-CN" w:bidi="ar-SA"/>
        </w:rPr>
      </w:pPr>
    </w:p>
    <w:p w14:paraId="66637D2D">
      <w:pPr>
        <w:pStyle w:val="19"/>
        <w:rPr>
          <w:rFonts w:hint="eastAsia" w:ascii="仿宋_GB2312" w:hAnsi="楷体_GB2312" w:eastAsia="仿宋_GB2312" w:cs="楷体_GB2312"/>
          <w:color w:val="000000"/>
          <w:kern w:val="2"/>
          <w:sz w:val="32"/>
          <w:szCs w:val="32"/>
          <w:u w:val="none"/>
          <w:lang w:val="en-US" w:eastAsia="zh-CN" w:bidi="ar-SA"/>
        </w:rPr>
      </w:pPr>
    </w:p>
    <w:p w14:paraId="58697E3F">
      <w:pPr>
        <w:rPr>
          <w:rFonts w:hint="eastAsia" w:ascii="仿宋_GB2312" w:hAnsi="楷体_GB2312" w:eastAsia="仿宋_GB2312" w:cs="楷体_GB2312"/>
          <w:color w:val="000000"/>
          <w:kern w:val="2"/>
          <w:sz w:val="32"/>
          <w:szCs w:val="32"/>
          <w:u w:val="none"/>
          <w:lang w:val="en-US" w:eastAsia="zh-CN" w:bidi="ar-SA"/>
        </w:rPr>
      </w:pPr>
    </w:p>
    <w:p w14:paraId="3559058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sectPr>
          <w:footerReference r:id="rId3" w:type="default"/>
          <w:pgSz w:w="11906" w:h="16838"/>
          <w:pgMar w:top="1797" w:right="1531" w:bottom="1797" w:left="1531" w:header="851" w:footer="992" w:gutter="0"/>
          <w:pgNumType w:fmt="numberInDash" w:start="1"/>
          <w:cols w:space="720" w:num="1"/>
          <w:rtlGutter w:val="0"/>
          <w:docGrid w:type="lines" w:linePitch="315" w:charSpace="0"/>
        </w:sectPr>
      </w:pPr>
    </w:p>
    <w:p w14:paraId="67C87C8D">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96D6FC8">
      <w:pPr>
        <w:pStyle w:val="6"/>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2025年安全生产工作任务分工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902"/>
        <w:gridCol w:w="8225"/>
        <w:gridCol w:w="2371"/>
      </w:tblGrid>
      <w:tr w14:paraId="4F14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center"/>
          </w:tcPr>
          <w:p w14:paraId="17B28D3A">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902" w:type="dxa"/>
            <w:noWrap w:val="0"/>
            <w:vAlign w:val="center"/>
          </w:tcPr>
          <w:p w14:paraId="11B94AD8">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任务</w:t>
            </w:r>
          </w:p>
        </w:tc>
        <w:tc>
          <w:tcPr>
            <w:tcW w:w="8225" w:type="dxa"/>
            <w:noWrap w:val="0"/>
            <w:vAlign w:val="center"/>
          </w:tcPr>
          <w:p w14:paraId="2F09BB99">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主     要     内     容</w:t>
            </w:r>
          </w:p>
        </w:tc>
        <w:tc>
          <w:tcPr>
            <w:tcW w:w="2371" w:type="dxa"/>
            <w:noWrap w:val="0"/>
            <w:vAlign w:val="center"/>
          </w:tcPr>
          <w:p w14:paraId="5D89FE9F">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责任单位</w:t>
            </w:r>
          </w:p>
        </w:tc>
      </w:tr>
      <w:tr w14:paraId="18C3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noWrap w:val="0"/>
            <w:vAlign w:val="center"/>
          </w:tcPr>
          <w:p w14:paraId="388FF07D">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1902" w:type="dxa"/>
            <w:noWrap w:val="0"/>
            <w:vAlign w:val="center"/>
          </w:tcPr>
          <w:p w14:paraId="66316A3E">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提高政治</w:t>
            </w:r>
          </w:p>
          <w:p w14:paraId="648254BE">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站位</w:t>
            </w:r>
          </w:p>
        </w:tc>
        <w:tc>
          <w:tcPr>
            <w:tcW w:w="8225" w:type="dxa"/>
            <w:noWrap w:val="0"/>
            <w:vAlign w:val="center"/>
          </w:tcPr>
          <w:p w14:paraId="0547FE8F">
            <w:pPr>
              <w:jc w:val="left"/>
              <w:rPr>
                <w:rFonts w:hint="eastAsia" w:ascii="仿宋" w:hAnsi="仿宋" w:eastAsia="仿宋" w:cs="仿宋"/>
                <w:sz w:val="28"/>
                <w:szCs w:val="28"/>
                <w:vertAlign w:val="baseline"/>
                <w:lang w:val="en-US" w:eastAsia="zh-CN"/>
              </w:rPr>
            </w:pPr>
            <w:r>
              <w:rPr>
                <w:rFonts w:hint="eastAsia" w:ascii="仿宋" w:hAnsi="仿宋" w:eastAsia="仿宋" w:cs="仿宋"/>
                <w:color w:val="000000"/>
                <w:sz w:val="28"/>
                <w:szCs w:val="28"/>
                <w:u w:val="none"/>
                <w:lang w:val="en-US" w:eastAsia="zh-CN"/>
              </w:rPr>
              <w:t>把习近平总书记关于安全生产和防灾减灾救灾重要讲话和指示批示作为党委（党组）第一议题及时跟进学习，把习近平总书记关于应急管理重要论述作为理论学习中心组重要内容定期组织专题学习，把党中央国务院、省委省政府、市委市政府及区委区政府关于安全生产重大决策部署作为重要议题及时传达学习，强化发展决不能以牺牲安全为代价的红线意识，树牢事故可防可控的理念，严格工作措施，建立落实清单，加强跟踪问效。</w:t>
            </w:r>
          </w:p>
        </w:tc>
        <w:tc>
          <w:tcPr>
            <w:tcW w:w="2371" w:type="dxa"/>
            <w:noWrap w:val="0"/>
            <w:vAlign w:val="center"/>
          </w:tcPr>
          <w:p w14:paraId="23FF08C3">
            <w:pPr>
              <w:jc w:val="left"/>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区委办、区政府办、区安委办，各乡镇区（街道）</w:t>
            </w:r>
          </w:p>
        </w:tc>
      </w:tr>
      <w:tr w14:paraId="6BA6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962" w:type="dxa"/>
            <w:noWrap w:val="0"/>
            <w:vAlign w:val="center"/>
          </w:tcPr>
          <w:p w14:paraId="66E038D1">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902" w:type="dxa"/>
            <w:noWrap w:val="0"/>
            <w:vAlign w:val="center"/>
          </w:tcPr>
          <w:p w14:paraId="1362978B">
            <w:pPr>
              <w:jc w:val="cente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强化安全</w:t>
            </w:r>
          </w:p>
          <w:p w14:paraId="3B9AC833">
            <w:pPr>
              <w:jc w:val="center"/>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宣贯</w:t>
            </w:r>
          </w:p>
        </w:tc>
        <w:tc>
          <w:tcPr>
            <w:tcW w:w="8225" w:type="dxa"/>
            <w:noWrap w:val="0"/>
            <w:vAlign w:val="center"/>
          </w:tcPr>
          <w:p w14:paraId="5FD39334">
            <w:pPr>
              <w:jc w:val="left"/>
              <w:rPr>
                <w:rFonts w:hint="eastAsia" w:ascii="仿宋" w:hAnsi="仿宋" w:eastAsia="仿宋" w:cs="仿宋"/>
                <w:spacing w:val="4"/>
                <w:sz w:val="28"/>
                <w:szCs w:val="28"/>
                <w:lang w:eastAsia="zh-CN"/>
              </w:rPr>
            </w:pPr>
            <w:r>
              <w:rPr>
                <w:rFonts w:hint="eastAsia" w:ascii="仿宋" w:hAnsi="仿宋" w:eastAsia="仿宋" w:cs="仿宋"/>
                <w:color w:val="000000"/>
                <w:sz w:val="28"/>
                <w:szCs w:val="28"/>
                <w:u w:val="none"/>
                <w:lang w:val="en-US" w:eastAsia="zh-CN"/>
              </w:rPr>
              <w:t>把安全生产纳入各级党委（党组）宣传计划，在电视台、电台、报纸等主流媒体开辟专题专栏，利用政府网站、微信、微博、抖音等新媒体常态化开展宣传。组织开展安全生产月、消防宣传月、防灾减灾宣传周等专题活动。</w:t>
            </w:r>
          </w:p>
        </w:tc>
        <w:tc>
          <w:tcPr>
            <w:tcW w:w="2371" w:type="dxa"/>
            <w:noWrap w:val="0"/>
            <w:vAlign w:val="center"/>
          </w:tcPr>
          <w:p w14:paraId="751A71D3">
            <w:pPr>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eastAsia="zh-CN"/>
              </w:rPr>
              <w:t>区委宣传部，各乡镇区（街道），区安委会有关成员单位</w:t>
            </w:r>
          </w:p>
        </w:tc>
      </w:tr>
      <w:tr w14:paraId="4901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962" w:type="dxa"/>
            <w:noWrap w:val="0"/>
            <w:vAlign w:val="center"/>
          </w:tcPr>
          <w:p w14:paraId="73AD1653">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902" w:type="dxa"/>
            <w:noWrap w:val="0"/>
            <w:vAlign w:val="center"/>
          </w:tcPr>
          <w:p w14:paraId="6940112F">
            <w:pPr>
              <w:jc w:val="cente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强化安全</w:t>
            </w:r>
          </w:p>
          <w:p w14:paraId="71D3EA9F">
            <w:pPr>
              <w:jc w:val="center"/>
              <w:rPr>
                <w:rStyle w:val="48"/>
                <w:rFonts w:hint="eastAsia" w:ascii="仿宋" w:hAnsi="仿宋" w:eastAsia="仿宋" w:cs="仿宋"/>
                <w:b/>
                <w:bCs/>
                <w:color w:val="000000"/>
                <w:kern w:val="2"/>
                <w:sz w:val="28"/>
                <w:szCs w:val="28"/>
                <w:u w:val="none"/>
                <w:lang w:val="en-US" w:eastAsia="zh-CN" w:bidi="ar-SA"/>
              </w:rPr>
            </w:pPr>
            <w:r>
              <w:rPr>
                <w:rFonts w:hint="eastAsia" w:ascii="仿宋" w:hAnsi="仿宋" w:eastAsia="仿宋" w:cs="仿宋"/>
                <w:spacing w:val="4"/>
                <w:sz w:val="28"/>
                <w:szCs w:val="28"/>
                <w:lang w:val="en-US" w:eastAsia="zh-CN"/>
              </w:rPr>
              <w:t>宣贯</w:t>
            </w:r>
          </w:p>
        </w:tc>
        <w:tc>
          <w:tcPr>
            <w:tcW w:w="8225" w:type="dxa"/>
            <w:noWrap w:val="0"/>
            <w:vAlign w:val="center"/>
          </w:tcPr>
          <w:p w14:paraId="0131AFBF">
            <w:pPr>
              <w:jc w:val="left"/>
              <w:rPr>
                <w:rFonts w:hint="eastAsia" w:ascii="仿宋" w:hAnsi="仿宋" w:eastAsia="仿宋" w:cs="仿宋"/>
                <w:sz w:val="28"/>
                <w:szCs w:val="28"/>
                <w:lang w:eastAsia="zh-CN"/>
              </w:rPr>
            </w:pPr>
            <w:r>
              <w:rPr>
                <w:rFonts w:hint="eastAsia" w:ascii="仿宋" w:hAnsi="仿宋" w:eastAsia="仿宋" w:cs="仿宋"/>
                <w:sz w:val="28"/>
                <w:szCs w:val="28"/>
              </w:rPr>
              <w:t>深入开展安全宣传“五进”、安全生产月、消防宣传月</w:t>
            </w:r>
            <w:r>
              <w:rPr>
                <w:rFonts w:hint="eastAsia" w:ascii="仿宋" w:hAnsi="仿宋" w:eastAsia="仿宋" w:cs="仿宋"/>
                <w:sz w:val="28"/>
                <w:szCs w:val="28"/>
                <w:lang w:eastAsia="zh-CN"/>
              </w:rPr>
              <w:t>、</w:t>
            </w:r>
            <w:r>
              <w:rPr>
                <w:rFonts w:hint="eastAsia" w:ascii="仿宋" w:hAnsi="仿宋" w:eastAsia="仿宋" w:cs="仿宋"/>
                <w:color w:val="000000"/>
                <w:sz w:val="28"/>
                <w:szCs w:val="28"/>
                <w:u w:val="none"/>
                <w:lang w:val="en-US" w:eastAsia="zh-CN"/>
              </w:rPr>
              <w:t>防灾减灾宣传周</w:t>
            </w:r>
            <w:r>
              <w:rPr>
                <w:rFonts w:hint="eastAsia" w:ascii="仿宋" w:hAnsi="仿宋" w:eastAsia="仿宋" w:cs="仿宋"/>
                <w:sz w:val="28"/>
                <w:szCs w:val="28"/>
              </w:rPr>
              <w:t>等活动，</w:t>
            </w:r>
            <w:r>
              <w:rPr>
                <w:rFonts w:hint="eastAsia" w:ascii="仿宋" w:hAnsi="仿宋" w:eastAsia="仿宋" w:cs="仿宋"/>
                <w:color w:val="000000"/>
                <w:sz w:val="28"/>
                <w:szCs w:val="28"/>
                <w:u w:val="none"/>
                <w:lang w:val="en-US" w:eastAsia="zh-CN"/>
              </w:rPr>
              <w:t>进企宣讲、送教下乡、入户提醒。注重安全意识从娃娃抓起，督促各类学校上好安全教育课，指导各类人员密集场所加强应急逃生和自救互救演练。发挥工青妇等群团组织作用，加强群监员安全监督，开展家庭安全寄语等活动，筑牢安全生产人民防线。</w:t>
            </w:r>
            <w:r>
              <w:rPr>
                <w:rFonts w:hint="eastAsia" w:ascii="仿宋" w:hAnsi="仿宋" w:eastAsia="仿宋" w:cs="仿宋"/>
                <w:sz w:val="28"/>
                <w:szCs w:val="28"/>
              </w:rPr>
              <w:t>加强先进典型宣传，积极营造安全文化氛围</w:t>
            </w:r>
            <w:r>
              <w:rPr>
                <w:rFonts w:hint="eastAsia" w:ascii="仿宋" w:hAnsi="仿宋" w:eastAsia="仿宋" w:cs="仿宋"/>
                <w:sz w:val="28"/>
                <w:szCs w:val="28"/>
                <w:lang w:eastAsia="zh-CN"/>
              </w:rPr>
              <w:t>。</w:t>
            </w:r>
          </w:p>
        </w:tc>
        <w:tc>
          <w:tcPr>
            <w:tcW w:w="2371" w:type="dxa"/>
            <w:noWrap w:val="0"/>
            <w:vAlign w:val="center"/>
          </w:tcPr>
          <w:p w14:paraId="1E9CCD41">
            <w:pPr>
              <w:jc w:val="left"/>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各乡镇区（街道），区安委会有关成员单位</w:t>
            </w:r>
          </w:p>
        </w:tc>
      </w:tr>
      <w:tr w14:paraId="1F94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2" w:type="dxa"/>
            <w:noWrap w:val="0"/>
            <w:vAlign w:val="center"/>
          </w:tcPr>
          <w:p w14:paraId="673AE57A">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902" w:type="dxa"/>
            <w:noWrap w:val="0"/>
            <w:vAlign w:val="center"/>
          </w:tcPr>
          <w:p w14:paraId="303F6B0A">
            <w:pPr>
              <w:jc w:val="cente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强化安全</w:t>
            </w:r>
          </w:p>
          <w:p w14:paraId="6A83BF64">
            <w:pPr>
              <w:jc w:val="center"/>
              <w:rPr>
                <w:rStyle w:val="48"/>
                <w:rFonts w:hint="eastAsia" w:ascii="仿宋" w:hAnsi="仿宋" w:eastAsia="仿宋" w:cs="仿宋"/>
                <w:b/>
                <w:bCs/>
                <w:color w:val="000000"/>
                <w:kern w:val="2"/>
                <w:sz w:val="28"/>
                <w:szCs w:val="28"/>
                <w:u w:val="none"/>
                <w:lang w:val="en-US" w:eastAsia="zh-CN" w:bidi="ar-SA"/>
              </w:rPr>
            </w:pPr>
            <w:r>
              <w:rPr>
                <w:rFonts w:hint="eastAsia" w:ascii="仿宋" w:hAnsi="仿宋" w:eastAsia="仿宋" w:cs="仿宋"/>
                <w:spacing w:val="4"/>
                <w:sz w:val="28"/>
                <w:szCs w:val="28"/>
                <w:lang w:val="en-US" w:eastAsia="zh-CN"/>
              </w:rPr>
              <w:t>宣贯</w:t>
            </w:r>
          </w:p>
        </w:tc>
        <w:tc>
          <w:tcPr>
            <w:tcW w:w="8225" w:type="dxa"/>
            <w:noWrap w:val="0"/>
            <w:vAlign w:val="center"/>
          </w:tcPr>
          <w:p w14:paraId="0E594384">
            <w:pPr>
              <w:jc w:val="left"/>
              <w:rPr>
                <w:rFonts w:hint="eastAsia" w:ascii="仿宋" w:hAnsi="仿宋" w:eastAsia="仿宋" w:cs="仿宋"/>
                <w:color w:val="000000"/>
                <w:sz w:val="28"/>
                <w:szCs w:val="28"/>
                <w:u w:val="none"/>
                <w:lang w:val="en-US" w:eastAsia="zh-CN"/>
              </w:rPr>
            </w:pPr>
            <w:r>
              <w:rPr>
                <w:rFonts w:hint="eastAsia" w:ascii="仿宋" w:hAnsi="仿宋" w:eastAsia="仿宋" w:cs="仿宋"/>
                <w:sz w:val="28"/>
                <w:szCs w:val="28"/>
              </w:rPr>
              <w:t>推动将应急管理和消防安全纳入</w:t>
            </w:r>
            <w:r>
              <w:rPr>
                <w:rFonts w:hint="eastAsia" w:ascii="仿宋" w:hAnsi="仿宋" w:eastAsia="仿宋" w:cs="仿宋"/>
                <w:sz w:val="28"/>
                <w:szCs w:val="28"/>
                <w:lang w:eastAsia="zh-CN"/>
              </w:rPr>
              <w:t>县、乡</w:t>
            </w:r>
            <w:r>
              <w:rPr>
                <w:rFonts w:hint="eastAsia" w:ascii="仿宋" w:hAnsi="仿宋" w:eastAsia="仿宋" w:cs="仿宋"/>
                <w:sz w:val="28"/>
                <w:szCs w:val="28"/>
              </w:rPr>
              <w:t>党政正职等领导干部培训内容。推动企业建立完善安全培训管理体系。加强特种作业人员等现场培训和实操实训。推进安全文化示范企业创建，注重用文化的力量凝聚共识、集中智慧，齐心协力、持之以恒，推动社会各界重视、参与和支持安全生产工作，促进安全生产形势持续稳定好转。</w:t>
            </w:r>
          </w:p>
        </w:tc>
        <w:tc>
          <w:tcPr>
            <w:tcW w:w="2371" w:type="dxa"/>
            <w:noWrap w:val="0"/>
            <w:vAlign w:val="center"/>
          </w:tcPr>
          <w:p w14:paraId="00E4DE0D">
            <w:pPr>
              <w:jc w:val="left"/>
              <w:rPr>
                <w:rFonts w:hint="eastAsia" w:ascii="仿宋" w:hAnsi="仿宋" w:eastAsia="仿宋" w:cs="仿宋"/>
                <w:spacing w:val="4"/>
                <w:sz w:val="28"/>
                <w:szCs w:val="28"/>
                <w:lang w:eastAsia="zh-CN"/>
              </w:rPr>
            </w:pPr>
            <w:r>
              <w:rPr>
                <w:rFonts w:hint="eastAsia" w:ascii="仿宋" w:hAnsi="仿宋" w:eastAsia="仿宋" w:cs="仿宋"/>
                <w:color w:val="FF0000"/>
                <w:spacing w:val="4"/>
                <w:sz w:val="28"/>
                <w:szCs w:val="28"/>
                <w:lang w:eastAsia="zh-CN"/>
              </w:rPr>
              <w:t>区委组织部，</w:t>
            </w:r>
            <w:r>
              <w:rPr>
                <w:rFonts w:hint="eastAsia" w:ascii="仿宋" w:hAnsi="仿宋" w:eastAsia="仿宋" w:cs="仿宋"/>
                <w:spacing w:val="4"/>
                <w:sz w:val="28"/>
                <w:szCs w:val="28"/>
                <w:lang w:eastAsia="zh-CN"/>
              </w:rPr>
              <w:t>各乡镇区（街道），区安委会有关成员单位</w:t>
            </w:r>
          </w:p>
        </w:tc>
      </w:tr>
      <w:tr w14:paraId="055F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62" w:type="dxa"/>
            <w:noWrap w:val="0"/>
            <w:vAlign w:val="center"/>
          </w:tcPr>
          <w:p w14:paraId="3D9EA9F2">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902" w:type="dxa"/>
            <w:noWrap w:val="0"/>
            <w:vAlign w:val="center"/>
          </w:tcPr>
          <w:p w14:paraId="3FFA7E45">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强化警示</w:t>
            </w:r>
          </w:p>
          <w:p w14:paraId="21B71D98">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教育</w:t>
            </w:r>
          </w:p>
        </w:tc>
        <w:tc>
          <w:tcPr>
            <w:tcW w:w="8225" w:type="dxa"/>
            <w:noWrap w:val="0"/>
            <w:vAlign w:val="center"/>
          </w:tcPr>
          <w:p w14:paraId="2AD2E3A4">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设立曝光台，加大典型事故、违法案例、隐患场景曝光力度。对发生较大以上事故和典型事故的，由行业主管部门会同区政府组织召开现场警示会；牵头负责事故调查的部门会同区政府下发事故通报、制作发放警示教育片，并由各单位组织集中观看，切实做到一厂出事故、万厂受教育，一地有隐患、全区受警示</w:t>
            </w:r>
            <w:r>
              <w:rPr>
                <w:rFonts w:hint="eastAsia" w:ascii="仿宋" w:hAnsi="仿宋" w:eastAsia="仿宋" w:cs="仿宋"/>
                <w:color w:val="000000"/>
                <w:kern w:val="2"/>
                <w:sz w:val="28"/>
                <w:szCs w:val="28"/>
                <w:u w:val="none"/>
                <w:lang w:val="en-US" w:bidi="ar-SA"/>
              </w:rPr>
              <w:t>。</w:t>
            </w:r>
          </w:p>
        </w:tc>
        <w:tc>
          <w:tcPr>
            <w:tcW w:w="2371" w:type="dxa"/>
            <w:noWrap w:val="0"/>
            <w:vAlign w:val="center"/>
          </w:tcPr>
          <w:p w14:paraId="2B9AA2CE">
            <w:pPr>
              <w:jc w:val="left"/>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各乡镇区（街道），区安委会有关成员单位</w:t>
            </w:r>
          </w:p>
        </w:tc>
      </w:tr>
      <w:tr w14:paraId="7705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962" w:type="dxa"/>
            <w:noWrap w:val="0"/>
            <w:vAlign w:val="center"/>
          </w:tcPr>
          <w:p w14:paraId="6D573DB7">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902" w:type="dxa"/>
            <w:noWrap w:val="0"/>
            <w:vAlign w:val="center"/>
          </w:tcPr>
          <w:p w14:paraId="0C4B2A4A">
            <w:pPr>
              <w:jc w:val="cente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强化组织</w:t>
            </w:r>
          </w:p>
          <w:p w14:paraId="15BA5F6C">
            <w:pPr>
              <w:jc w:val="center"/>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领导</w:t>
            </w:r>
          </w:p>
        </w:tc>
        <w:tc>
          <w:tcPr>
            <w:tcW w:w="8225" w:type="dxa"/>
            <w:noWrap w:val="0"/>
            <w:vAlign w:val="center"/>
          </w:tcPr>
          <w:p w14:paraId="374A6BA7">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vertAlign w:val="baseline"/>
                <w:lang w:val="en-US" w:eastAsia="zh-CN"/>
              </w:rPr>
            </w:pPr>
            <w:r>
              <w:rPr>
                <w:rStyle w:val="48"/>
                <w:rFonts w:hint="eastAsia" w:ascii="仿宋" w:hAnsi="仿宋" w:eastAsia="仿宋" w:cs="仿宋"/>
                <w:b w:val="0"/>
                <w:bCs w:val="0"/>
                <w:color w:val="C00000"/>
                <w:kern w:val="2"/>
                <w:sz w:val="28"/>
                <w:szCs w:val="28"/>
                <w:u w:val="none"/>
                <w:lang w:val="en-US" w:eastAsia="zh-CN" w:bidi="ar-SA"/>
              </w:rPr>
              <w:t>根据工作需要，设立防灾减灾救灾委员会，完善防灾减灾救灾委员会与各灾种应急指挥部常态与非常态下应急工作机制，强化上下协同联动，承接好相关工作。制定我区提升基层应急管理能力的若干措施，理顺乡镇（街道）应急管理体制，明确专门工作力量，建立应急管理及消防履职事项清单，纳入基层网格化管理服务内容。</w:t>
            </w:r>
          </w:p>
        </w:tc>
        <w:tc>
          <w:tcPr>
            <w:tcW w:w="2371" w:type="dxa"/>
            <w:noWrap w:val="0"/>
            <w:vAlign w:val="center"/>
          </w:tcPr>
          <w:p w14:paraId="5D7253BC">
            <w:pPr>
              <w:jc w:val="left"/>
              <w:rPr>
                <w:rFonts w:hint="eastAsia" w:ascii="仿宋" w:hAnsi="仿宋" w:eastAsia="仿宋" w:cs="仿宋"/>
                <w:spacing w:val="4"/>
                <w:sz w:val="28"/>
                <w:szCs w:val="28"/>
                <w:lang w:eastAsia="zh-CN"/>
              </w:rPr>
            </w:pPr>
            <w:r>
              <w:rPr>
                <w:rFonts w:hint="eastAsia" w:ascii="仿宋" w:hAnsi="仿宋" w:eastAsia="仿宋" w:cs="仿宋"/>
                <w:color w:val="C00000"/>
                <w:kern w:val="2"/>
                <w:sz w:val="28"/>
                <w:szCs w:val="28"/>
                <w:u w:val="none"/>
                <w:lang w:val="en-US" w:eastAsia="zh-CN" w:bidi="ar-SA"/>
              </w:rPr>
              <w:t>自然资源局、水利局、农业农村局、住建局、应急局、消防救援大队、气象局等部门分工负责</w:t>
            </w:r>
          </w:p>
        </w:tc>
      </w:tr>
      <w:tr w14:paraId="06BB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962" w:type="dxa"/>
            <w:noWrap w:val="0"/>
            <w:vAlign w:val="center"/>
          </w:tcPr>
          <w:p w14:paraId="5D4C8993">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902" w:type="dxa"/>
            <w:noWrap w:val="0"/>
            <w:vAlign w:val="center"/>
          </w:tcPr>
          <w:p w14:paraId="6A82688F">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完善工作</w:t>
            </w:r>
          </w:p>
          <w:p w14:paraId="1BBA49AA">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机制</w:t>
            </w:r>
          </w:p>
        </w:tc>
        <w:tc>
          <w:tcPr>
            <w:tcW w:w="8225" w:type="dxa"/>
            <w:noWrap w:val="0"/>
            <w:vAlign w:val="center"/>
          </w:tcPr>
          <w:p w14:paraId="6DF43956">
            <w:pPr>
              <w:pStyle w:val="6"/>
              <w:ind w:left="0" w:leftChars="0" w:firstLine="0" w:firstLineChars="0"/>
              <w:jc w:val="both"/>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认真落实《国务院办公厅关于严格规范涉企行政检查的意见》，出台规范安全生产领域入企活动办法，严控入企检查人员数量，限定入企次数，设定企业安静期，严格规范入企监督检查、考核巡查、指导帮扶、调查研究等活动。</w:t>
            </w:r>
          </w:p>
        </w:tc>
        <w:tc>
          <w:tcPr>
            <w:tcW w:w="2371" w:type="dxa"/>
            <w:noWrap w:val="0"/>
            <w:vAlign w:val="center"/>
          </w:tcPr>
          <w:p w14:paraId="22DE895D">
            <w:pPr>
              <w:jc w:val="left"/>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区安委会有关成员单位</w:t>
            </w:r>
          </w:p>
        </w:tc>
      </w:tr>
      <w:tr w14:paraId="1B57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962" w:type="dxa"/>
            <w:noWrap w:val="0"/>
            <w:vAlign w:val="center"/>
          </w:tcPr>
          <w:p w14:paraId="0EF2EF13">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902" w:type="dxa"/>
            <w:noWrap w:val="0"/>
            <w:vAlign w:val="center"/>
          </w:tcPr>
          <w:p w14:paraId="4C7B241E">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完善工作</w:t>
            </w:r>
          </w:p>
          <w:p w14:paraId="242EC71C">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机制</w:t>
            </w:r>
          </w:p>
        </w:tc>
        <w:tc>
          <w:tcPr>
            <w:tcW w:w="8225" w:type="dxa"/>
            <w:noWrap w:val="0"/>
            <w:vAlign w:val="center"/>
          </w:tcPr>
          <w:p w14:paraId="13FE86C1">
            <w:pPr>
              <w:pStyle w:val="6"/>
              <w:ind w:left="0" w:leftChars="0" w:firstLine="0" w:firstLineChars="0"/>
              <w:jc w:val="both"/>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建立健全审批与监管部门联动、安全生产责任保险事故预防、自然灾害巨灾保险、</w:t>
            </w:r>
            <w:r>
              <w:rPr>
                <w:rFonts w:hint="eastAsia" w:ascii="仿宋" w:hAnsi="仿宋" w:eastAsia="仿宋" w:cs="仿宋"/>
                <w:color w:val="000000"/>
                <w:kern w:val="2"/>
                <w:sz w:val="28"/>
                <w:szCs w:val="28"/>
                <w:u w:val="none"/>
                <w:lang w:val="en-US" w:bidi="ar-SA"/>
              </w:rPr>
              <w:t>跨部门灾害防范应对</w:t>
            </w:r>
            <w:r>
              <w:rPr>
                <w:rFonts w:hint="eastAsia" w:ascii="仿宋" w:hAnsi="仿宋" w:eastAsia="仿宋" w:cs="仿宋"/>
                <w:color w:val="000000"/>
                <w:kern w:val="2"/>
                <w:sz w:val="28"/>
                <w:szCs w:val="28"/>
                <w:u w:val="none"/>
                <w:lang w:val="en-US" w:eastAsia="zh-CN" w:bidi="ar-SA"/>
              </w:rPr>
              <w:t>等</w:t>
            </w:r>
            <w:r>
              <w:rPr>
                <w:rFonts w:hint="eastAsia" w:ascii="仿宋" w:hAnsi="仿宋" w:eastAsia="仿宋" w:cs="仿宋"/>
                <w:color w:val="000000"/>
                <w:kern w:val="2"/>
                <w:sz w:val="28"/>
                <w:szCs w:val="28"/>
                <w:u w:val="none"/>
                <w:lang w:val="en-US" w:bidi="ar-SA"/>
              </w:rPr>
              <w:t>协调机制</w:t>
            </w:r>
            <w:r>
              <w:rPr>
                <w:rFonts w:hint="eastAsia" w:ascii="仿宋" w:hAnsi="仿宋" w:eastAsia="仿宋" w:cs="仿宋"/>
                <w:color w:val="000000"/>
                <w:kern w:val="2"/>
                <w:sz w:val="28"/>
                <w:szCs w:val="28"/>
                <w:u w:val="none"/>
                <w:lang w:val="en-US" w:eastAsia="zh-CN" w:bidi="ar-SA"/>
              </w:rPr>
              <w:t>，完善“挂牌督办、警示约谈、督导巡查、调度通报”等重点工作推进机制。修订完善安全生产、防灾减灾救灾议事协调机构工作规则。</w:t>
            </w:r>
          </w:p>
        </w:tc>
        <w:tc>
          <w:tcPr>
            <w:tcW w:w="2371" w:type="dxa"/>
            <w:noWrap w:val="0"/>
            <w:vAlign w:val="center"/>
          </w:tcPr>
          <w:p w14:paraId="026E1ADF">
            <w:pPr>
              <w:jc w:val="left"/>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区安委会有关成员单位</w:t>
            </w:r>
          </w:p>
        </w:tc>
      </w:tr>
      <w:tr w14:paraId="2CE2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962" w:type="dxa"/>
            <w:noWrap w:val="0"/>
            <w:vAlign w:val="center"/>
          </w:tcPr>
          <w:p w14:paraId="32D7CB15">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902" w:type="dxa"/>
            <w:noWrap w:val="0"/>
            <w:vAlign w:val="center"/>
          </w:tcPr>
          <w:p w14:paraId="630BF07E">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完善工作</w:t>
            </w:r>
          </w:p>
          <w:p w14:paraId="7C4100B0">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机制</w:t>
            </w:r>
          </w:p>
        </w:tc>
        <w:tc>
          <w:tcPr>
            <w:tcW w:w="8225" w:type="dxa"/>
            <w:noWrap w:val="0"/>
            <w:vAlign w:val="center"/>
          </w:tcPr>
          <w:p w14:paraId="1DB8E4E3">
            <w:pPr>
              <w:pStyle w:val="6"/>
              <w:ind w:left="0" w:leftChars="0" w:firstLine="0" w:firstLineChars="0"/>
              <w:jc w:val="both"/>
              <w:rPr>
                <w:rFonts w:hint="eastAsia" w:ascii="仿宋" w:hAnsi="仿宋" w:eastAsia="仿宋" w:cs="仿宋"/>
                <w:color w:val="000000"/>
                <w:kern w:val="2"/>
                <w:sz w:val="28"/>
                <w:szCs w:val="28"/>
                <w:u w:val="none"/>
                <w:lang w:val="en-US" w:eastAsia="zh-CN" w:bidi="ar-SA"/>
              </w:rPr>
            </w:pPr>
            <w:r>
              <w:rPr>
                <w:rFonts w:hint="eastAsia" w:ascii="仿宋" w:hAnsi="仿宋" w:eastAsia="仿宋" w:cs="仿宋"/>
                <w:sz w:val="28"/>
                <w:szCs w:val="28"/>
                <w:highlight w:val="none"/>
                <w:lang w:val="en-US" w:eastAsia="zh-CN"/>
              </w:rPr>
              <w:t>建立完善安全生产风险排查整治和责任倒查机制，大力推行“2+3+N”（两个转变、三道防线、N项基础）及</w:t>
            </w:r>
            <w:r>
              <w:rPr>
                <w:rFonts w:hint="eastAsia" w:ascii="仿宋" w:hAnsi="仿宋" w:eastAsia="仿宋" w:cs="仿宋"/>
                <w:color w:val="C00000"/>
                <w:sz w:val="28"/>
                <w:szCs w:val="28"/>
                <w:highlight w:val="none"/>
                <w:lang w:val="en-US" w:eastAsia="zh-CN"/>
              </w:rPr>
              <w:t>安全生产“六九九六”工</w:t>
            </w:r>
            <w:r>
              <w:rPr>
                <w:rFonts w:hint="eastAsia" w:ascii="仿宋" w:hAnsi="仿宋" w:eastAsia="仿宋" w:cs="仿宋"/>
                <w:sz w:val="28"/>
                <w:szCs w:val="28"/>
                <w:highlight w:val="none"/>
                <w:lang w:val="en-US" w:eastAsia="zh-CN"/>
              </w:rPr>
              <w:t>作机制，切实防范化解重大风险，动态消除重大事故隐患，防范遏制重大以上事故。</w:t>
            </w:r>
          </w:p>
        </w:tc>
        <w:tc>
          <w:tcPr>
            <w:tcW w:w="2371" w:type="dxa"/>
            <w:noWrap w:val="0"/>
            <w:vAlign w:val="center"/>
          </w:tcPr>
          <w:p w14:paraId="19D48694">
            <w:pPr>
              <w:jc w:val="left"/>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区安委会有关成员单位</w:t>
            </w:r>
          </w:p>
        </w:tc>
      </w:tr>
      <w:tr w14:paraId="130E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962" w:type="dxa"/>
            <w:noWrap w:val="0"/>
            <w:vAlign w:val="center"/>
          </w:tcPr>
          <w:p w14:paraId="50ABE694">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902" w:type="dxa"/>
            <w:noWrap w:val="0"/>
            <w:vAlign w:val="center"/>
          </w:tcPr>
          <w:p w14:paraId="561AEB6E">
            <w:pPr>
              <w:jc w:val="both"/>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突出党政领导责任</w:t>
            </w:r>
          </w:p>
        </w:tc>
        <w:tc>
          <w:tcPr>
            <w:tcW w:w="8225" w:type="dxa"/>
            <w:noWrap w:val="0"/>
            <w:vAlign w:val="center"/>
          </w:tcPr>
          <w:p w14:paraId="136D4567">
            <w:pPr>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坚持党政同责、一岗双责、齐抓共管、失职追责，严格贯彻落实《地方党政领导干部安全生产责任制规定》及实施细则，动态编制并落实党政领导干部安全生产职责清单和年度重点工作任务清单，将履行安全生产工作职责情况列入党委、政府领导班子及其成员年度考核述职内容。</w:t>
            </w:r>
          </w:p>
        </w:tc>
        <w:tc>
          <w:tcPr>
            <w:tcW w:w="2371" w:type="dxa"/>
            <w:noWrap w:val="0"/>
            <w:vAlign w:val="center"/>
          </w:tcPr>
          <w:p w14:paraId="67BE51D0">
            <w:pPr>
              <w:jc w:val="left"/>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区安委办，各乡镇（街道），</w:t>
            </w:r>
            <w:r>
              <w:rPr>
                <w:rFonts w:hint="eastAsia" w:ascii="仿宋" w:hAnsi="仿宋" w:eastAsia="仿宋" w:cs="仿宋"/>
                <w:color w:val="000000"/>
                <w:kern w:val="2"/>
                <w:sz w:val="28"/>
                <w:szCs w:val="28"/>
                <w:u w:val="none"/>
                <w:lang w:val="en-US" w:eastAsia="zh-CN" w:bidi="ar-SA"/>
              </w:rPr>
              <w:t>区安委会有关成员单位</w:t>
            </w:r>
          </w:p>
        </w:tc>
      </w:tr>
      <w:tr w14:paraId="0B2E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962" w:type="dxa"/>
            <w:noWrap w:val="0"/>
            <w:vAlign w:val="center"/>
          </w:tcPr>
          <w:p w14:paraId="719C076A">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902" w:type="dxa"/>
            <w:noWrap w:val="0"/>
            <w:vAlign w:val="center"/>
          </w:tcPr>
          <w:p w14:paraId="14B1B775">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突出党政领导责任</w:t>
            </w:r>
          </w:p>
        </w:tc>
        <w:tc>
          <w:tcPr>
            <w:tcW w:w="8225" w:type="dxa"/>
            <w:noWrap w:val="0"/>
            <w:vAlign w:val="center"/>
          </w:tcPr>
          <w:p w14:paraId="4FD208AF">
            <w:pPr>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每季度召开专题会议，分管各行业政府副职向政府主要领导汇报履职情况。推进安委办实体化。推动矿山转型升级。各级党政领导干部要投入更大精力抓安全生产，定期深入一线检查指导。</w:t>
            </w:r>
          </w:p>
        </w:tc>
        <w:tc>
          <w:tcPr>
            <w:tcW w:w="2371" w:type="dxa"/>
            <w:noWrap w:val="0"/>
            <w:vAlign w:val="center"/>
          </w:tcPr>
          <w:p w14:paraId="197DFCB3">
            <w:pPr>
              <w:jc w:val="left"/>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区安委办，各乡镇（街道），</w:t>
            </w:r>
            <w:r>
              <w:rPr>
                <w:rFonts w:hint="eastAsia" w:ascii="仿宋" w:hAnsi="仿宋" w:eastAsia="仿宋" w:cs="仿宋"/>
                <w:color w:val="000000"/>
                <w:kern w:val="2"/>
                <w:sz w:val="28"/>
                <w:szCs w:val="28"/>
                <w:u w:val="none"/>
                <w:lang w:val="en-US" w:eastAsia="zh-CN" w:bidi="ar-SA"/>
              </w:rPr>
              <w:t>区安委会有关成员单位</w:t>
            </w:r>
          </w:p>
        </w:tc>
      </w:tr>
      <w:tr w14:paraId="73E9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62" w:type="dxa"/>
            <w:noWrap w:val="0"/>
            <w:vAlign w:val="center"/>
          </w:tcPr>
          <w:p w14:paraId="568A6293">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902" w:type="dxa"/>
            <w:noWrap w:val="0"/>
            <w:vAlign w:val="center"/>
          </w:tcPr>
          <w:p w14:paraId="6C15AE88">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突出党政领导责任</w:t>
            </w:r>
          </w:p>
        </w:tc>
        <w:tc>
          <w:tcPr>
            <w:tcW w:w="8225" w:type="dxa"/>
            <w:noWrap w:val="0"/>
            <w:vAlign w:val="center"/>
          </w:tcPr>
          <w:p w14:paraId="27EB1F54">
            <w:pPr>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区党委政府建立安全生产办实事、解难题清单，针对安全监管部门领导班子、干部队伍、监管职责、执法力量、经费保障、执法装备、信息化建设等事项，至少研究解决10项具体问题。要发挥专家智库、专业机构等作用，不断完善安全生产工作机制，提升党政领导干部履职能力。</w:t>
            </w:r>
          </w:p>
        </w:tc>
        <w:tc>
          <w:tcPr>
            <w:tcW w:w="2371" w:type="dxa"/>
            <w:noWrap w:val="0"/>
            <w:vAlign w:val="center"/>
          </w:tcPr>
          <w:p w14:paraId="35675E20">
            <w:pPr>
              <w:jc w:val="left"/>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区委办、区政府办，各乡镇（街道），</w:t>
            </w:r>
            <w:r>
              <w:rPr>
                <w:rFonts w:hint="eastAsia" w:ascii="仿宋" w:hAnsi="仿宋" w:eastAsia="仿宋" w:cs="仿宋"/>
                <w:color w:val="000000"/>
                <w:kern w:val="2"/>
                <w:sz w:val="28"/>
                <w:szCs w:val="28"/>
                <w:u w:val="none"/>
                <w:lang w:val="en-US" w:eastAsia="zh-CN" w:bidi="ar-SA"/>
              </w:rPr>
              <w:t>区安委会有关成员单位</w:t>
            </w:r>
          </w:p>
        </w:tc>
      </w:tr>
      <w:tr w14:paraId="2FE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962" w:type="dxa"/>
            <w:noWrap w:val="0"/>
            <w:vAlign w:val="center"/>
          </w:tcPr>
          <w:p w14:paraId="2EC9A068">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902" w:type="dxa"/>
            <w:noWrap w:val="0"/>
            <w:vAlign w:val="center"/>
          </w:tcPr>
          <w:p w14:paraId="6AEB9DD6">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落实部门监管责任</w:t>
            </w:r>
          </w:p>
        </w:tc>
        <w:tc>
          <w:tcPr>
            <w:tcW w:w="8225" w:type="dxa"/>
            <w:noWrap w:val="0"/>
            <w:vAlign w:val="center"/>
          </w:tcPr>
          <w:p w14:paraId="328FE051">
            <w:pPr>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动态完善监管部门安全生产权责清单。修</w:t>
            </w:r>
            <w:r>
              <w:rPr>
                <w:rFonts w:hint="eastAsia" w:ascii="仿宋" w:hAnsi="仿宋" w:eastAsia="仿宋" w:cs="仿宋"/>
                <w:sz w:val="28"/>
                <w:szCs w:val="28"/>
              </w:rPr>
              <w:t>订完善并</w:t>
            </w:r>
            <w:r>
              <w:rPr>
                <w:rFonts w:hint="eastAsia" w:ascii="仿宋" w:hAnsi="仿宋" w:eastAsia="仿宋" w:cs="仿宋"/>
                <w:color w:val="000000"/>
                <w:kern w:val="2"/>
                <w:sz w:val="28"/>
                <w:szCs w:val="28"/>
                <w:u w:val="none"/>
                <w:lang w:val="en-US" w:eastAsia="zh-CN" w:bidi="ar-SA"/>
              </w:rPr>
              <w:t>认真贯彻</w:t>
            </w:r>
            <w:r>
              <w:rPr>
                <w:rFonts w:hint="eastAsia" w:ascii="仿宋" w:hAnsi="仿宋" w:eastAsia="仿宋" w:cs="仿宋"/>
                <w:sz w:val="28"/>
                <w:szCs w:val="28"/>
              </w:rPr>
              <w:t>落实《长治市</w:t>
            </w:r>
            <w:r>
              <w:rPr>
                <w:rFonts w:hint="eastAsia" w:ascii="仿宋" w:hAnsi="仿宋" w:eastAsia="仿宋" w:cs="仿宋"/>
                <w:sz w:val="28"/>
                <w:szCs w:val="28"/>
                <w:lang w:eastAsia="zh-CN"/>
              </w:rPr>
              <w:t>上党区</w:t>
            </w:r>
            <w:r>
              <w:rPr>
                <w:rFonts w:hint="eastAsia" w:ascii="仿宋" w:hAnsi="仿宋" w:eastAsia="仿宋" w:cs="仿宋"/>
                <w:sz w:val="28"/>
                <w:szCs w:val="28"/>
              </w:rPr>
              <w:t>管行业必须管安全、管业务必须管安全、管生产经营必须管安全实施办法》，</w:t>
            </w:r>
            <w:r>
              <w:rPr>
                <w:rFonts w:hint="eastAsia" w:ascii="仿宋" w:hAnsi="仿宋" w:eastAsia="仿宋" w:cs="仿宋"/>
                <w:color w:val="000000"/>
                <w:kern w:val="2"/>
                <w:sz w:val="28"/>
                <w:szCs w:val="28"/>
                <w:u w:val="none"/>
                <w:lang w:val="en-US" w:eastAsia="zh-CN" w:bidi="ar-SA"/>
              </w:rPr>
              <w:t>打通政策措施落地的“最后一公里”。</w:t>
            </w:r>
            <w:r>
              <w:rPr>
                <w:rFonts w:hint="eastAsia" w:ascii="仿宋" w:hAnsi="仿宋" w:eastAsia="仿宋" w:cs="仿宋"/>
                <w:sz w:val="28"/>
                <w:szCs w:val="28"/>
              </w:rPr>
              <w:t>全面压实监管责任</w:t>
            </w:r>
            <w:r>
              <w:rPr>
                <w:rFonts w:hint="eastAsia" w:ascii="仿宋" w:hAnsi="仿宋" w:eastAsia="仿宋" w:cs="仿宋"/>
                <w:sz w:val="28"/>
                <w:szCs w:val="28"/>
                <w:lang w:val="en-US" w:eastAsia="zh-CN"/>
              </w:rPr>
              <w:t>。</w:t>
            </w:r>
            <w:r>
              <w:rPr>
                <w:rFonts w:hint="eastAsia" w:ascii="仿宋" w:hAnsi="仿宋" w:eastAsia="仿宋" w:cs="仿宋"/>
                <w:sz w:val="28"/>
                <w:szCs w:val="28"/>
              </w:rPr>
              <w:t>坚持实施安全生产挂牌责任制。</w:t>
            </w:r>
            <w:r>
              <w:rPr>
                <w:rFonts w:hint="eastAsia" w:ascii="仿宋" w:hAnsi="仿宋" w:eastAsia="仿宋" w:cs="仿宋"/>
                <w:color w:val="000000"/>
                <w:kern w:val="2"/>
                <w:sz w:val="28"/>
                <w:szCs w:val="28"/>
                <w:u w:val="none"/>
                <w:lang w:val="en-US" w:eastAsia="zh-CN" w:bidi="ar-SA"/>
              </w:rPr>
              <w:t>结合实际，进一步明确仓储物流、校外培训（托管）机构、平台经济、特种设备目录外游乐设施等新业态及职责交叉领域监管责任。</w:t>
            </w:r>
          </w:p>
        </w:tc>
        <w:tc>
          <w:tcPr>
            <w:tcW w:w="2371" w:type="dxa"/>
            <w:noWrap w:val="0"/>
            <w:vAlign w:val="center"/>
          </w:tcPr>
          <w:p w14:paraId="780B634E">
            <w:pPr>
              <w:jc w:val="left"/>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各乡镇（街道），区安委办，</w:t>
            </w:r>
            <w:r>
              <w:rPr>
                <w:rFonts w:hint="eastAsia" w:ascii="仿宋" w:hAnsi="仿宋" w:eastAsia="仿宋" w:cs="仿宋"/>
                <w:color w:val="000000"/>
                <w:kern w:val="2"/>
                <w:sz w:val="28"/>
                <w:szCs w:val="28"/>
                <w:u w:val="none"/>
                <w:lang w:val="en-US" w:eastAsia="zh-CN" w:bidi="ar-SA"/>
              </w:rPr>
              <w:t>区安委会有关成员单位</w:t>
            </w:r>
          </w:p>
        </w:tc>
      </w:tr>
      <w:tr w14:paraId="50FF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962" w:type="dxa"/>
            <w:noWrap w:val="0"/>
            <w:vAlign w:val="center"/>
          </w:tcPr>
          <w:p w14:paraId="682442F4">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902" w:type="dxa"/>
            <w:noWrap w:val="0"/>
            <w:vAlign w:val="center"/>
          </w:tcPr>
          <w:p w14:paraId="721E5EFD">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落实部门监管责任</w:t>
            </w:r>
          </w:p>
        </w:tc>
        <w:tc>
          <w:tcPr>
            <w:tcW w:w="8225" w:type="dxa"/>
            <w:noWrap w:val="0"/>
            <w:vAlign w:val="center"/>
          </w:tcPr>
          <w:p w14:paraId="5D5DB6D1">
            <w:pPr>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发挥各安全生产专业委员会作用，厘清“一件事”全链条、各环节安全监管责任。各有关部门制定安全生产工作要点和治本攻坚年度重点工作任务清单，负有安全生产监管职责的部门制定监督检查计划。推进精准执法，加强部门联合执法，做到“执一次法、查多项事”。</w:t>
            </w:r>
          </w:p>
        </w:tc>
        <w:tc>
          <w:tcPr>
            <w:tcW w:w="2371" w:type="dxa"/>
            <w:noWrap w:val="0"/>
            <w:vAlign w:val="center"/>
          </w:tcPr>
          <w:p w14:paraId="49699BAA">
            <w:pPr>
              <w:jc w:val="left"/>
              <w:rPr>
                <w:rFonts w:hint="eastAsia" w:ascii="仿宋" w:hAnsi="仿宋" w:eastAsia="仿宋" w:cs="仿宋"/>
                <w:sz w:val="28"/>
                <w:szCs w:val="28"/>
                <w:lang w:val="en-US" w:eastAsia="zh-CN"/>
              </w:rPr>
            </w:pPr>
            <w:r>
              <w:rPr>
                <w:rFonts w:hint="eastAsia" w:ascii="仿宋" w:hAnsi="仿宋" w:eastAsia="仿宋" w:cs="仿宋"/>
                <w:color w:val="000000"/>
                <w:kern w:val="2"/>
                <w:sz w:val="28"/>
                <w:szCs w:val="28"/>
                <w:u w:val="none"/>
                <w:lang w:val="en-US" w:eastAsia="zh-CN" w:bidi="ar-SA"/>
              </w:rPr>
              <w:t>各安全生产专业委员会，区安委会有关成员单位</w:t>
            </w:r>
          </w:p>
        </w:tc>
      </w:tr>
      <w:tr w14:paraId="4DDD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2" w:type="dxa"/>
            <w:noWrap w:val="0"/>
            <w:vAlign w:val="center"/>
          </w:tcPr>
          <w:p w14:paraId="5957FF20">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902" w:type="dxa"/>
            <w:noWrap w:val="0"/>
            <w:vAlign w:val="center"/>
          </w:tcPr>
          <w:p w14:paraId="292D7AA2">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压实企业主体责任</w:t>
            </w:r>
          </w:p>
        </w:tc>
        <w:tc>
          <w:tcPr>
            <w:tcW w:w="8225" w:type="dxa"/>
            <w:noWrap w:val="0"/>
            <w:vAlign w:val="center"/>
          </w:tcPr>
          <w:p w14:paraId="25698280">
            <w:pPr>
              <w:pStyle w:val="6"/>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color w:val="000000"/>
                <w:sz w:val="28"/>
                <w:szCs w:val="28"/>
                <w:u w:val="none"/>
                <w:lang w:val="en-US" w:eastAsia="zh-CN"/>
              </w:rPr>
              <w:t>坚持重点行业领域企业主要负责人履职尽责承诺制度，严格落实生产经营单位主要负责人安全生产责任制规定的11项职责，</w:t>
            </w:r>
            <w:r>
              <w:rPr>
                <w:rFonts w:hint="eastAsia" w:ascii="仿宋" w:hAnsi="仿宋" w:eastAsia="仿宋" w:cs="仿宋"/>
                <w:sz w:val="28"/>
                <w:szCs w:val="28"/>
              </w:rPr>
              <w:t>制定并落实企业分管负责人安全生产职责清单。依法设置安全管理机构、配备安全总监、专兼职安全管理人员和注册安全工程师。</w:t>
            </w:r>
            <w:r>
              <w:rPr>
                <w:rFonts w:hint="eastAsia" w:ascii="仿宋" w:hAnsi="仿宋" w:eastAsia="仿宋" w:cs="仿宋"/>
                <w:color w:val="000000"/>
                <w:sz w:val="28"/>
                <w:szCs w:val="28"/>
                <w:u w:val="none"/>
                <w:lang w:val="en-US" w:eastAsia="zh-CN"/>
              </w:rPr>
              <w:t>加强安全管理队伍建设，让能力强、业务精、作风实的硬干部管安全，让管好安全的干部受重用</w:t>
            </w:r>
            <w:r>
              <w:rPr>
                <w:rFonts w:hint="eastAsia" w:ascii="仿宋" w:hAnsi="仿宋" w:eastAsia="仿宋" w:cs="仿宋"/>
                <w:sz w:val="28"/>
                <w:szCs w:val="28"/>
                <w:lang w:eastAsia="zh-CN"/>
              </w:rPr>
              <w:t>。</w:t>
            </w:r>
          </w:p>
        </w:tc>
        <w:tc>
          <w:tcPr>
            <w:tcW w:w="2371" w:type="dxa"/>
            <w:noWrap w:val="0"/>
            <w:vAlign w:val="center"/>
          </w:tcPr>
          <w:p w14:paraId="4406FC88">
            <w:pPr>
              <w:jc w:val="left"/>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highlight w:val="none"/>
                <w:u w:val="none"/>
                <w:lang w:val="en-US" w:eastAsia="zh-CN" w:bidi="ar-SA"/>
              </w:rPr>
              <w:t>负有安全生产监管职责的部门督促企业落实</w:t>
            </w:r>
          </w:p>
        </w:tc>
      </w:tr>
      <w:tr w14:paraId="458F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62" w:type="dxa"/>
            <w:noWrap w:val="0"/>
            <w:vAlign w:val="center"/>
          </w:tcPr>
          <w:p w14:paraId="4161E9BF">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902" w:type="dxa"/>
            <w:noWrap w:val="0"/>
            <w:vAlign w:val="center"/>
          </w:tcPr>
          <w:p w14:paraId="004CC4C9">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压实企业主体责任</w:t>
            </w:r>
          </w:p>
        </w:tc>
        <w:tc>
          <w:tcPr>
            <w:tcW w:w="8225" w:type="dxa"/>
            <w:noWrap w:val="0"/>
            <w:vAlign w:val="center"/>
          </w:tcPr>
          <w:p w14:paraId="7E603F47">
            <w:pPr>
              <w:pStyle w:val="6"/>
              <w:ind w:left="0" w:leftChars="0" w:firstLine="0" w:firstLineChars="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健全企业内部安全风险隐患报告制度，对报告事故隐患或者举报安全生产违法违规行为的有功人员予以重奖。强化行业自律，因地制宜采取专家入企指导帮扶、企业结对互学互助和引入专业性行业协会、安全评价机构、保险机构等第三方机构提供社会化服务等方式，提高企业风险防范和隐患排查质效。</w:t>
            </w:r>
            <w:r>
              <w:rPr>
                <w:rFonts w:hint="eastAsia" w:ascii="仿宋" w:hAnsi="仿宋" w:eastAsia="仿宋" w:cs="仿宋"/>
                <w:sz w:val="28"/>
                <w:szCs w:val="28"/>
              </w:rPr>
              <w:t>足额提取使用安全生产费用</w:t>
            </w:r>
            <w:r>
              <w:rPr>
                <w:rFonts w:hint="eastAsia" w:ascii="仿宋" w:hAnsi="仿宋" w:eastAsia="仿宋" w:cs="仿宋"/>
                <w:sz w:val="28"/>
                <w:szCs w:val="28"/>
                <w:lang w:eastAsia="zh-CN"/>
              </w:rPr>
              <w:t>，</w:t>
            </w:r>
            <w:r>
              <w:rPr>
                <w:rFonts w:hint="eastAsia" w:ascii="仿宋" w:hAnsi="仿宋" w:eastAsia="仿宋" w:cs="仿宋"/>
                <w:color w:val="000000"/>
                <w:sz w:val="28"/>
                <w:szCs w:val="28"/>
                <w:u w:val="none"/>
                <w:lang w:val="en-US" w:eastAsia="zh-CN"/>
              </w:rPr>
              <w:t>主动接受监管部门对安全投入保障情况的检查，加强安全生产标准化和安全文化建设，依法做到安全责任、投入、培训、管理和应急救援“五到位”。</w:t>
            </w:r>
          </w:p>
        </w:tc>
        <w:tc>
          <w:tcPr>
            <w:tcW w:w="2371" w:type="dxa"/>
            <w:noWrap w:val="0"/>
            <w:vAlign w:val="center"/>
          </w:tcPr>
          <w:p w14:paraId="7F1B6FF0">
            <w:pPr>
              <w:jc w:val="left"/>
              <w:rPr>
                <w:rFonts w:hint="eastAsia" w:ascii="仿宋" w:hAnsi="仿宋" w:eastAsia="仿宋" w:cs="仿宋"/>
                <w:sz w:val="28"/>
                <w:szCs w:val="28"/>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highlight w:val="none"/>
                <w:u w:val="none"/>
                <w:lang w:val="en-US" w:eastAsia="zh-CN" w:bidi="ar-SA"/>
              </w:rPr>
              <w:t>负有安全生产监管职责的部门督促企业落实</w:t>
            </w:r>
          </w:p>
        </w:tc>
      </w:tr>
      <w:tr w14:paraId="224C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62" w:type="dxa"/>
            <w:noWrap w:val="0"/>
            <w:vAlign w:val="center"/>
          </w:tcPr>
          <w:p w14:paraId="7E590386">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902" w:type="dxa"/>
            <w:noWrap w:val="0"/>
            <w:vAlign w:val="center"/>
          </w:tcPr>
          <w:p w14:paraId="726DAF0C">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压实企业主体责任</w:t>
            </w:r>
          </w:p>
        </w:tc>
        <w:tc>
          <w:tcPr>
            <w:tcW w:w="8225" w:type="dxa"/>
            <w:noWrap w:val="0"/>
            <w:vAlign w:val="center"/>
          </w:tcPr>
          <w:p w14:paraId="0AE88D4A">
            <w:pPr>
              <w:pStyle w:val="6"/>
              <w:ind w:left="0" w:leftChars="0" w:firstLine="0" w:firstLineChars="0"/>
              <w:rPr>
                <w:rFonts w:hint="eastAsia" w:ascii="仿宋" w:hAnsi="仿宋" w:eastAsia="仿宋" w:cs="仿宋"/>
                <w:color w:val="000000"/>
                <w:sz w:val="28"/>
                <w:szCs w:val="28"/>
                <w:u w:val="none"/>
                <w:lang w:val="en-US" w:eastAsia="zh-CN"/>
              </w:rPr>
            </w:pPr>
            <w:r>
              <w:rPr>
                <w:rFonts w:hint="eastAsia" w:ascii="仿宋" w:hAnsi="仿宋" w:eastAsia="仿宋" w:cs="仿宋"/>
                <w:sz w:val="28"/>
                <w:szCs w:val="28"/>
              </w:rPr>
              <w:t>矿山企业按照有关规定全面开展“体检式”精查</w:t>
            </w:r>
            <w:r>
              <w:rPr>
                <w:rFonts w:hint="eastAsia" w:ascii="仿宋" w:hAnsi="仿宋" w:eastAsia="仿宋" w:cs="仿宋"/>
                <w:sz w:val="28"/>
                <w:szCs w:val="28"/>
                <w:lang w:eastAsia="zh-CN"/>
              </w:rPr>
              <w:t>及专家会诊</w:t>
            </w:r>
            <w:r>
              <w:rPr>
                <w:rFonts w:hint="eastAsia" w:ascii="仿宋" w:hAnsi="仿宋" w:eastAsia="仿宋" w:cs="仿宋"/>
                <w:sz w:val="28"/>
                <w:szCs w:val="28"/>
              </w:rPr>
              <w:t>，建立健全安全生产管理制度机制，其他高危行业领域企业推广矿山企业做法。</w:t>
            </w:r>
          </w:p>
        </w:tc>
        <w:tc>
          <w:tcPr>
            <w:tcW w:w="2371" w:type="dxa"/>
            <w:noWrap w:val="0"/>
            <w:vAlign w:val="center"/>
          </w:tcPr>
          <w:p w14:paraId="3A08DD39">
            <w:pPr>
              <w:jc w:val="left"/>
              <w:rPr>
                <w:rFonts w:hint="eastAsia" w:ascii="仿宋" w:hAnsi="仿宋" w:eastAsia="仿宋" w:cs="仿宋"/>
                <w:sz w:val="28"/>
                <w:szCs w:val="28"/>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highlight w:val="none"/>
                <w:u w:val="none"/>
                <w:lang w:val="en-US" w:eastAsia="zh-CN" w:bidi="ar-SA"/>
              </w:rPr>
              <w:t>负有安全生产监管职责的部门督促企业落实</w:t>
            </w:r>
          </w:p>
        </w:tc>
      </w:tr>
      <w:tr w14:paraId="053E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962" w:type="dxa"/>
            <w:noWrap w:val="0"/>
            <w:vAlign w:val="center"/>
          </w:tcPr>
          <w:p w14:paraId="4DCE1897">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1902" w:type="dxa"/>
            <w:noWrap w:val="0"/>
            <w:vAlign w:val="center"/>
          </w:tcPr>
          <w:p w14:paraId="724ABCD0">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sz w:val="28"/>
                <w:szCs w:val="28"/>
                <w:u w:val="none"/>
                <w:lang w:val="en-US" w:eastAsia="zh-CN"/>
              </w:rPr>
              <w:t>落实全员安全责任</w:t>
            </w:r>
          </w:p>
        </w:tc>
        <w:tc>
          <w:tcPr>
            <w:tcW w:w="8225" w:type="dxa"/>
            <w:noWrap w:val="0"/>
            <w:vAlign w:val="center"/>
          </w:tcPr>
          <w:p w14:paraId="0783140C">
            <w:pPr>
              <w:numPr>
                <w:ilvl w:val="0"/>
                <w:numId w:val="0"/>
              </w:numPr>
              <w:jc w:val="left"/>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深入推进《安全生产“六九九六”工作机制》的落实，制定全员</w:t>
            </w:r>
            <w:r>
              <w:rPr>
                <w:rFonts w:hint="eastAsia" w:ascii="仿宋" w:hAnsi="仿宋" w:eastAsia="仿宋" w:cs="仿宋"/>
                <w:color w:val="000000"/>
                <w:kern w:val="2"/>
                <w:sz w:val="28"/>
                <w:szCs w:val="28"/>
                <w:u w:val="none"/>
                <w:lang w:val="en-US" w:bidi="ar-SA"/>
              </w:rPr>
              <w:t>安全生产责任清单</w:t>
            </w:r>
            <w:r>
              <w:rPr>
                <w:rFonts w:hint="eastAsia" w:ascii="仿宋" w:hAnsi="仿宋" w:eastAsia="仿宋" w:cs="仿宋"/>
                <w:color w:val="000000"/>
                <w:kern w:val="2"/>
                <w:sz w:val="28"/>
                <w:szCs w:val="28"/>
                <w:u w:val="none"/>
                <w:lang w:val="en-US" w:eastAsia="zh-CN" w:bidi="ar-SA"/>
              </w:rPr>
              <w:t>和一线作业岗位负面清单，</w:t>
            </w:r>
            <w:r>
              <w:rPr>
                <w:rFonts w:hint="eastAsia" w:ascii="仿宋" w:hAnsi="仿宋" w:eastAsia="仿宋" w:cs="仿宋"/>
                <w:color w:val="000000"/>
                <w:kern w:val="2"/>
                <w:sz w:val="28"/>
                <w:szCs w:val="28"/>
                <w:u w:val="none"/>
                <w:lang w:val="en-US" w:bidi="ar-SA"/>
              </w:rPr>
              <w:t>并严格检查考核</w:t>
            </w:r>
            <w:r>
              <w:rPr>
                <w:rFonts w:hint="eastAsia" w:ascii="仿宋" w:hAnsi="仿宋" w:eastAsia="仿宋" w:cs="仿宋"/>
                <w:color w:val="000000"/>
                <w:kern w:val="2"/>
                <w:sz w:val="28"/>
                <w:szCs w:val="28"/>
                <w:u w:val="none"/>
                <w:lang w:val="en-US" w:eastAsia="zh-CN" w:bidi="ar-SA"/>
              </w:rPr>
              <w:t>。</w:t>
            </w:r>
            <w:r>
              <w:rPr>
                <w:rFonts w:hint="eastAsia" w:ascii="仿宋" w:hAnsi="仿宋" w:eastAsia="仿宋" w:cs="仿宋"/>
                <w:sz w:val="28"/>
                <w:szCs w:val="28"/>
              </w:rPr>
              <w:t>从业人员未经培训合格不得上岗。着眼不伤害自己、不伤害他人、不被</w:t>
            </w:r>
            <w:r>
              <w:rPr>
                <w:rFonts w:hint="eastAsia" w:ascii="仿宋" w:hAnsi="仿宋" w:eastAsia="仿宋" w:cs="仿宋"/>
                <w:sz w:val="28"/>
                <w:szCs w:val="28"/>
                <w:lang w:val="en-US" w:eastAsia="zh-CN"/>
              </w:rPr>
              <w:t>他</w:t>
            </w:r>
            <w:r>
              <w:rPr>
                <w:rFonts w:hint="eastAsia" w:ascii="仿宋" w:hAnsi="仿宋" w:eastAsia="仿宋" w:cs="仿宋"/>
                <w:sz w:val="28"/>
                <w:szCs w:val="28"/>
              </w:rPr>
              <w:t>人伤害、保护他人不受伤害，</w:t>
            </w:r>
            <w:r>
              <w:rPr>
                <w:rFonts w:hint="eastAsia" w:ascii="仿宋" w:hAnsi="仿宋" w:eastAsia="仿宋" w:cs="仿宋"/>
                <w:color w:val="000000"/>
                <w:kern w:val="2"/>
                <w:sz w:val="28"/>
                <w:szCs w:val="28"/>
                <w:u w:val="none"/>
                <w:lang w:val="en-US" w:eastAsia="zh-CN" w:bidi="ar-SA"/>
              </w:rPr>
              <w:t>持续深化反“三违”活动，建立企业人员“三违”行为惩戒办法，组织员工开展安全生产承诺。各行业领域结合实际，建立作业场所视频监控系统，开展视频反“三违”，</w:t>
            </w:r>
            <w:r>
              <w:rPr>
                <w:rFonts w:hint="eastAsia" w:ascii="仿宋" w:hAnsi="仿宋" w:eastAsia="仿宋" w:cs="仿宋"/>
                <w:color w:val="000000"/>
                <w:kern w:val="2"/>
                <w:sz w:val="28"/>
                <w:szCs w:val="28"/>
                <w:u w:val="none"/>
                <w:lang w:val="en-US" w:bidi="ar-SA"/>
              </w:rPr>
              <w:t>促进从业人员自觉遵守安全生产规章制度和操作规程，落实岗位安全风险防控措施。</w:t>
            </w:r>
          </w:p>
        </w:tc>
        <w:tc>
          <w:tcPr>
            <w:tcW w:w="2371" w:type="dxa"/>
            <w:noWrap w:val="0"/>
            <w:vAlign w:val="center"/>
          </w:tcPr>
          <w:p w14:paraId="46B4AE8F">
            <w:pPr>
              <w:jc w:val="left"/>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highlight w:val="none"/>
                <w:u w:val="none"/>
                <w:lang w:val="en-US" w:eastAsia="zh-CN" w:bidi="ar-SA"/>
              </w:rPr>
              <w:t>负有安全生产监管职责的部门督促企业落实</w:t>
            </w:r>
          </w:p>
        </w:tc>
      </w:tr>
      <w:tr w14:paraId="1EBF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62" w:type="dxa"/>
            <w:noWrap w:val="0"/>
            <w:vAlign w:val="center"/>
          </w:tcPr>
          <w:p w14:paraId="3719BBFF">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1902" w:type="dxa"/>
            <w:noWrap w:val="0"/>
            <w:vAlign w:val="center"/>
          </w:tcPr>
          <w:p w14:paraId="601A17C9">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强化责任</w:t>
            </w:r>
          </w:p>
          <w:p w14:paraId="52472416">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溯源倒查</w:t>
            </w:r>
          </w:p>
        </w:tc>
        <w:tc>
          <w:tcPr>
            <w:tcW w:w="8225" w:type="dxa"/>
            <w:noWrap w:val="0"/>
            <w:vAlign w:val="center"/>
          </w:tcPr>
          <w:p w14:paraId="044FB0CC">
            <w:pPr>
              <w:pStyle w:val="6"/>
              <w:numPr>
                <w:ilvl w:val="0"/>
                <w:numId w:val="0"/>
              </w:numPr>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严格责任倒查追究，树立“严管就是厚爱”和“动员千遍不如问责一次”的理念，对故意或者重大过失，未履行、不当履行或者违法履行职责，导致发生事故等危害后果或者造成不良影响的，依法进行责任倒查追究，不仅追究企业直接责任人责任，而且追究属地党政领导责任和部门监管责任，并依法将有关企业及人员列入严重失信主体名单。</w:t>
            </w:r>
          </w:p>
        </w:tc>
        <w:tc>
          <w:tcPr>
            <w:tcW w:w="2371" w:type="dxa"/>
            <w:noWrap w:val="0"/>
            <w:vAlign w:val="center"/>
          </w:tcPr>
          <w:p w14:paraId="7EEBB23C">
            <w:pPr>
              <w:pStyle w:val="6"/>
              <w:numPr>
                <w:ilvl w:val="0"/>
                <w:numId w:val="0"/>
              </w:numPr>
              <w:rPr>
                <w:rFonts w:hint="eastAsia" w:ascii="仿宋" w:hAnsi="仿宋" w:eastAsia="仿宋" w:cs="仿宋"/>
                <w:sz w:val="28"/>
                <w:szCs w:val="28"/>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sz w:val="28"/>
                <w:szCs w:val="28"/>
                <w:lang w:val="en-US" w:eastAsia="zh-CN"/>
              </w:rPr>
              <w:t>负有安全监管职责的部门</w:t>
            </w:r>
          </w:p>
          <w:p w14:paraId="112073CE">
            <w:pPr>
              <w:jc w:val="center"/>
              <w:rPr>
                <w:rFonts w:hint="eastAsia" w:ascii="仿宋" w:hAnsi="仿宋" w:eastAsia="仿宋" w:cs="仿宋"/>
                <w:sz w:val="28"/>
                <w:szCs w:val="28"/>
                <w:vertAlign w:val="baseline"/>
                <w:lang w:val="en-US" w:eastAsia="zh-CN"/>
              </w:rPr>
            </w:pPr>
          </w:p>
        </w:tc>
      </w:tr>
      <w:tr w14:paraId="6007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3" w:hRule="atLeast"/>
        </w:trPr>
        <w:tc>
          <w:tcPr>
            <w:tcW w:w="962" w:type="dxa"/>
            <w:noWrap w:val="0"/>
            <w:vAlign w:val="center"/>
          </w:tcPr>
          <w:p w14:paraId="40E6C9CE">
            <w:pPr>
              <w:jc w:val="center"/>
              <w:rPr>
                <w:rFonts w:hint="eastAsia" w:ascii="仿宋" w:hAnsi="仿宋" w:eastAsia="仿宋" w:cs="仿宋"/>
                <w:sz w:val="28"/>
                <w:szCs w:val="28"/>
                <w:vertAlign w:val="baseline"/>
                <w:lang w:val="en-US" w:eastAsia="zh-CN"/>
              </w:rPr>
            </w:pPr>
          </w:p>
        </w:tc>
        <w:tc>
          <w:tcPr>
            <w:tcW w:w="1902" w:type="dxa"/>
            <w:noWrap w:val="0"/>
            <w:vAlign w:val="center"/>
          </w:tcPr>
          <w:p w14:paraId="2D6A2BC9">
            <w:pPr>
              <w:jc w:val="both"/>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6C5008D0">
            <w:pPr>
              <w:pStyle w:val="6"/>
              <w:numPr>
                <w:ilvl w:val="0"/>
                <w:numId w:val="0"/>
              </w:numPr>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对安全生产责任落实不到位、重点工作推进</w:t>
            </w:r>
            <w:r>
              <w:rPr>
                <w:rFonts w:hint="eastAsia" w:ascii="仿宋" w:hAnsi="仿宋" w:eastAsia="仿宋" w:cs="仿宋"/>
                <w:color w:val="000000"/>
                <w:kern w:val="2"/>
                <w:sz w:val="28"/>
                <w:szCs w:val="28"/>
                <w:u w:val="none"/>
                <w:lang w:val="en-US" w:bidi="ar-SA"/>
              </w:rPr>
              <w:t>缓慢</w:t>
            </w:r>
            <w:r>
              <w:rPr>
                <w:rFonts w:hint="eastAsia" w:ascii="仿宋" w:hAnsi="仿宋" w:eastAsia="仿宋" w:cs="仿宋"/>
                <w:color w:val="000000"/>
                <w:kern w:val="2"/>
                <w:sz w:val="28"/>
                <w:szCs w:val="28"/>
                <w:u w:val="none"/>
                <w:lang w:val="en-US" w:eastAsia="zh-CN" w:bidi="ar-SA"/>
              </w:rPr>
              <w:t>、重大隐患整改</w:t>
            </w:r>
            <w:r>
              <w:rPr>
                <w:rFonts w:hint="eastAsia" w:ascii="仿宋" w:hAnsi="仿宋" w:eastAsia="仿宋" w:cs="仿宋"/>
                <w:color w:val="000000"/>
                <w:kern w:val="2"/>
                <w:sz w:val="28"/>
                <w:szCs w:val="28"/>
                <w:u w:val="none"/>
                <w:lang w:val="en-US" w:bidi="ar-SA"/>
              </w:rPr>
              <w:t>不力</w:t>
            </w:r>
            <w:r>
              <w:rPr>
                <w:rFonts w:hint="eastAsia" w:ascii="仿宋" w:hAnsi="仿宋" w:eastAsia="仿宋" w:cs="仿宋"/>
                <w:color w:val="000000"/>
                <w:kern w:val="2"/>
                <w:sz w:val="28"/>
                <w:szCs w:val="28"/>
                <w:u w:val="none"/>
                <w:lang w:val="en-US" w:eastAsia="zh-CN" w:bidi="ar-SA"/>
              </w:rPr>
              <w:t>的，予以通报</w:t>
            </w:r>
            <w:r>
              <w:rPr>
                <w:rFonts w:hint="eastAsia" w:ascii="仿宋" w:hAnsi="仿宋" w:eastAsia="仿宋" w:cs="仿宋"/>
                <w:color w:val="000000"/>
                <w:kern w:val="2"/>
                <w:sz w:val="28"/>
                <w:szCs w:val="28"/>
                <w:u w:val="none"/>
                <w:lang w:val="en-US" w:bidi="ar-SA"/>
              </w:rPr>
              <w:t>批评</w:t>
            </w:r>
            <w:r>
              <w:rPr>
                <w:rFonts w:hint="eastAsia" w:ascii="仿宋" w:hAnsi="仿宋" w:eastAsia="仿宋" w:cs="仿宋"/>
                <w:color w:val="000000"/>
                <w:kern w:val="2"/>
                <w:sz w:val="28"/>
                <w:szCs w:val="28"/>
                <w:u w:val="none"/>
                <w:lang w:val="en-US" w:eastAsia="zh-CN" w:bidi="ar-SA"/>
              </w:rPr>
              <w:t>、</w:t>
            </w:r>
            <w:r>
              <w:rPr>
                <w:rFonts w:hint="eastAsia" w:ascii="仿宋" w:hAnsi="仿宋" w:eastAsia="仿宋" w:cs="仿宋"/>
                <w:color w:val="000000"/>
                <w:kern w:val="2"/>
                <w:sz w:val="28"/>
                <w:szCs w:val="28"/>
                <w:u w:val="none"/>
                <w:lang w:val="en-US" w:bidi="ar-SA"/>
              </w:rPr>
              <w:t>公开曝光、</w:t>
            </w:r>
            <w:r>
              <w:rPr>
                <w:rFonts w:hint="eastAsia" w:ascii="仿宋" w:hAnsi="仿宋" w:eastAsia="仿宋" w:cs="仿宋"/>
                <w:color w:val="000000"/>
                <w:kern w:val="2"/>
                <w:sz w:val="28"/>
                <w:szCs w:val="28"/>
                <w:u w:val="none"/>
                <w:lang w:val="en-US" w:eastAsia="zh-CN" w:bidi="ar-SA"/>
              </w:rPr>
              <w:t>约谈问责。对符合</w:t>
            </w:r>
            <w:r>
              <w:rPr>
                <w:rFonts w:hint="eastAsia" w:ascii="仿宋" w:hAnsi="仿宋" w:eastAsia="仿宋" w:cs="仿宋"/>
                <w:color w:val="auto"/>
                <w:kern w:val="2"/>
                <w:sz w:val="28"/>
                <w:szCs w:val="28"/>
                <w:u w:val="none"/>
                <w:lang w:val="en-US" w:eastAsia="zh-CN" w:bidi="ar-SA"/>
              </w:rPr>
              <w:t>《长治市安全生产行政执法与纪检监察衔接协作工作机制(试行)》(长纪办法〔2023〕19号)</w:t>
            </w:r>
            <w:r>
              <w:rPr>
                <w:rFonts w:hint="eastAsia" w:ascii="仿宋" w:hAnsi="仿宋" w:eastAsia="仿宋" w:cs="仿宋"/>
                <w:color w:val="000000"/>
                <w:kern w:val="2"/>
                <w:sz w:val="28"/>
                <w:szCs w:val="28"/>
                <w:u w:val="none"/>
                <w:lang w:val="en-US" w:eastAsia="zh-CN" w:bidi="ar-SA"/>
              </w:rPr>
              <w:t>移送情形的及时移送纪检监察部门。对煤矿、危险化学品、道路运输等行业企业关闭、破坏监控报警设备设施，或者篡改、隐瞒、销毁其相关数据信息等危险作业，以及无证非法生产经营构成犯罪的，移送司法机关追究刑事责任。专项整治期间发生同类型较大事故的，约谈属地政府。</w:t>
            </w:r>
          </w:p>
        </w:tc>
        <w:tc>
          <w:tcPr>
            <w:tcW w:w="2371" w:type="dxa"/>
            <w:noWrap w:val="0"/>
            <w:vAlign w:val="center"/>
          </w:tcPr>
          <w:p w14:paraId="39D2B852">
            <w:pPr>
              <w:pStyle w:val="6"/>
              <w:numPr>
                <w:ilvl w:val="0"/>
                <w:numId w:val="0"/>
              </w:numPr>
              <w:rPr>
                <w:rFonts w:hint="eastAsia" w:ascii="仿宋" w:hAnsi="仿宋" w:eastAsia="仿宋" w:cs="仿宋"/>
                <w:sz w:val="28"/>
                <w:szCs w:val="28"/>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sz w:val="28"/>
                <w:szCs w:val="28"/>
                <w:lang w:val="en-US" w:eastAsia="zh-CN"/>
              </w:rPr>
              <w:t>负有安全监管职责的部门</w:t>
            </w:r>
          </w:p>
          <w:p w14:paraId="6A0437B2">
            <w:pPr>
              <w:jc w:val="center"/>
              <w:rPr>
                <w:rFonts w:hint="eastAsia" w:ascii="仿宋" w:hAnsi="仿宋" w:eastAsia="仿宋" w:cs="仿宋"/>
                <w:sz w:val="28"/>
                <w:szCs w:val="28"/>
                <w:vertAlign w:val="baseline"/>
                <w:lang w:val="en-US" w:eastAsia="zh-CN"/>
              </w:rPr>
            </w:pPr>
          </w:p>
        </w:tc>
      </w:tr>
      <w:tr w14:paraId="1D7D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962" w:type="dxa"/>
            <w:vMerge w:val="restart"/>
            <w:noWrap w:val="0"/>
            <w:vAlign w:val="center"/>
          </w:tcPr>
          <w:p w14:paraId="0C66C71D">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02" w:type="dxa"/>
            <w:vMerge w:val="restart"/>
            <w:noWrap w:val="0"/>
            <w:vAlign w:val="center"/>
          </w:tcPr>
          <w:p w14:paraId="114B1C6A">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聚焦突出</w:t>
            </w:r>
          </w:p>
          <w:p w14:paraId="49EB41A2">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问题</w:t>
            </w:r>
          </w:p>
        </w:tc>
        <w:tc>
          <w:tcPr>
            <w:tcW w:w="8225" w:type="dxa"/>
            <w:noWrap w:val="0"/>
            <w:vAlign w:val="center"/>
          </w:tcPr>
          <w:p w14:paraId="13AE7BB1">
            <w:pPr>
              <w:pStyle w:val="6"/>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聚焦重点行业领域，采取有力措施，每年至少解决1—2项制约安全发展的突出问题。涉及跨部门难以解决的重大问题要及时提请党委政府专题研究。</w:t>
            </w:r>
          </w:p>
        </w:tc>
        <w:tc>
          <w:tcPr>
            <w:tcW w:w="2371" w:type="dxa"/>
            <w:noWrap w:val="0"/>
            <w:vAlign w:val="center"/>
          </w:tcPr>
          <w:p w14:paraId="0B006F72">
            <w:pPr>
              <w:pStyle w:val="6"/>
              <w:numPr>
                <w:ilvl w:val="0"/>
                <w:numId w:val="0"/>
              </w:numP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sz w:val="28"/>
                <w:szCs w:val="28"/>
                <w:lang w:val="en-US" w:eastAsia="zh-CN"/>
              </w:rPr>
              <w:t>负有安全监管职责的部门</w:t>
            </w:r>
          </w:p>
        </w:tc>
      </w:tr>
      <w:tr w14:paraId="7A6E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962" w:type="dxa"/>
            <w:vMerge w:val="continue"/>
            <w:noWrap w:val="0"/>
            <w:vAlign w:val="center"/>
          </w:tcPr>
          <w:p w14:paraId="5321696F">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586743CB">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47EFF585">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持续推动矿山“八条硬措施”硬落实，深化煤矿重大灾害防治帮扶，着力解决煤矿隐蔽致灾因素不清、瓦斯防治和探放水措施落实不到位等问题。</w:t>
            </w:r>
          </w:p>
        </w:tc>
        <w:tc>
          <w:tcPr>
            <w:tcW w:w="2371" w:type="dxa"/>
            <w:noWrap w:val="0"/>
            <w:vAlign w:val="center"/>
          </w:tcPr>
          <w:p w14:paraId="6504D77F">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各乡镇（街道），区能源局、区应急局、区自然资源局等部门</w:t>
            </w:r>
          </w:p>
        </w:tc>
      </w:tr>
      <w:tr w14:paraId="7CF6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962" w:type="dxa"/>
            <w:vMerge w:val="continue"/>
            <w:noWrap w:val="0"/>
            <w:vAlign w:val="center"/>
          </w:tcPr>
          <w:p w14:paraId="5177CF1A">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41C26B10">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4DCBC2E3">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深化资源整合，推动兼并重组、关小上大，着力解决非煤矿山冶金工贸企业多、小、散、乱、差，“一厂多租、厂中厂、业态混杂”以及工程项目、检维修作业外包外委管理不到位等问题</w:t>
            </w:r>
          </w:p>
        </w:tc>
        <w:tc>
          <w:tcPr>
            <w:tcW w:w="2371" w:type="dxa"/>
            <w:noWrap w:val="0"/>
            <w:vAlign w:val="center"/>
          </w:tcPr>
          <w:p w14:paraId="18FFFFD5">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各乡镇（街道），区自然资源局、区应急管理局、区工信局等部门</w:t>
            </w:r>
          </w:p>
        </w:tc>
      </w:tr>
      <w:tr w14:paraId="0BDA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2" w:type="dxa"/>
            <w:vMerge w:val="continue"/>
            <w:noWrap w:val="0"/>
            <w:vAlign w:val="center"/>
          </w:tcPr>
          <w:p w14:paraId="06EFB420">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2389AFE7">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57C542BC">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着力解决油气长输管道项目手续办理等问题，加快安全设施“三同时”审查工作</w:t>
            </w:r>
          </w:p>
        </w:tc>
        <w:tc>
          <w:tcPr>
            <w:tcW w:w="2371" w:type="dxa"/>
            <w:noWrap w:val="0"/>
            <w:vAlign w:val="center"/>
          </w:tcPr>
          <w:p w14:paraId="5AA23D50">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各乡镇（街道），区发改科技局、区行政审批局、区能源局、区应急局等部门</w:t>
            </w:r>
          </w:p>
        </w:tc>
      </w:tr>
      <w:tr w14:paraId="50C7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962" w:type="dxa"/>
            <w:vMerge w:val="continue"/>
            <w:noWrap w:val="0"/>
            <w:vAlign w:val="center"/>
          </w:tcPr>
          <w:p w14:paraId="5F93A67B">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72C48D16">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2FA23EB8">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着力解决建设工程消防审验历史遗留、使用易燃可燃保温材料等问题</w:t>
            </w:r>
          </w:p>
        </w:tc>
        <w:tc>
          <w:tcPr>
            <w:tcW w:w="2371" w:type="dxa"/>
            <w:noWrap w:val="0"/>
            <w:vAlign w:val="center"/>
          </w:tcPr>
          <w:p w14:paraId="189F4602">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各乡镇（街道），区住建局、区行政审批局、区消防救援大队等部门</w:t>
            </w:r>
          </w:p>
        </w:tc>
      </w:tr>
      <w:tr w14:paraId="276C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962" w:type="dxa"/>
            <w:vMerge w:val="continue"/>
            <w:noWrap w:val="0"/>
            <w:vAlign w:val="center"/>
          </w:tcPr>
          <w:p w14:paraId="22F59DF5">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4126B492">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02DAE7E4">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着力解决高层建筑、医疗机构、人员密集场所、“九小场所”、文物建筑等消防设施器材不完善、安全措施不落实、特殊作业管控不到位等问题</w:t>
            </w:r>
          </w:p>
        </w:tc>
        <w:tc>
          <w:tcPr>
            <w:tcW w:w="2371" w:type="dxa"/>
            <w:noWrap w:val="0"/>
            <w:vAlign w:val="center"/>
          </w:tcPr>
          <w:p w14:paraId="0DB4B2ED">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各乡镇（街道），区住建局、区卫体局、市公安局上党分局、区文旅局、区消防救援大队等部门</w:t>
            </w:r>
          </w:p>
        </w:tc>
      </w:tr>
      <w:tr w14:paraId="7F3A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962" w:type="dxa"/>
            <w:vMerge w:val="continue"/>
            <w:noWrap w:val="0"/>
            <w:vAlign w:val="center"/>
          </w:tcPr>
          <w:p w14:paraId="7326DD2D">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152963D1">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2F6BCB55">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加快推进停放充电设施建设，着力解决电动自行车进楼入户、飞线充电等违规停放充电行为，以及打击非法改装力度不大、充电费用未落实居民电价政策等问题。</w:t>
            </w:r>
          </w:p>
        </w:tc>
        <w:tc>
          <w:tcPr>
            <w:tcW w:w="2371" w:type="dxa"/>
            <w:noWrap w:val="0"/>
            <w:vAlign w:val="center"/>
          </w:tcPr>
          <w:p w14:paraId="5A0A10EC">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各乡镇（街道），区消防救援大队、区发改科技局、区住建局、市公安局上党分局、区市场监管局等部门</w:t>
            </w:r>
          </w:p>
        </w:tc>
      </w:tr>
      <w:tr w14:paraId="55DF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962" w:type="dxa"/>
            <w:vMerge w:val="continue"/>
            <w:noWrap w:val="0"/>
            <w:vAlign w:val="center"/>
          </w:tcPr>
          <w:p w14:paraId="4CA9383F">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5EF6B5E8">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4E806415">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着力解决建设工程转包、违法分包、盲目赶工期抢进度、不按方案施工、审批手续不全、违规动火作业、高处坠落等问题。</w:t>
            </w:r>
          </w:p>
        </w:tc>
        <w:tc>
          <w:tcPr>
            <w:tcW w:w="2371" w:type="dxa"/>
            <w:noWrap w:val="0"/>
            <w:vAlign w:val="center"/>
          </w:tcPr>
          <w:p w14:paraId="4D0F1B03">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各乡镇（街道）、各</w:t>
            </w:r>
            <w:r>
              <w:rPr>
                <w:rFonts w:hint="eastAsia" w:ascii="仿宋" w:hAnsi="仿宋" w:eastAsia="仿宋" w:cs="仿宋"/>
                <w:sz w:val="28"/>
                <w:szCs w:val="28"/>
                <w:lang w:val="en-US" w:eastAsia="zh-CN"/>
              </w:rPr>
              <w:t>负有安全监管职责的部门</w:t>
            </w:r>
          </w:p>
        </w:tc>
      </w:tr>
      <w:tr w14:paraId="07FE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2" w:type="dxa"/>
            <w:vMerge w:val="continue"/>
            <w:noWrap w:val="0"/>
            <w:vAlign w:val="center"/>
          </w:tcPr>
          <w:p w14:paraId="3AB83A64">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4E71A33E">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51A9EAAF">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着力解决燃气老旧管网带病运行、第三方盲目施工破坏以及气、瓶、阀、管、灶等方面问题</w:t>
            </w:r>
          </w:p>
        </w:tc>
        <w:tc>
          <w:tcPr>
            <w:tcW w:w="2371" w:type="dxa"/>
            <w:noWrap w:val="0"/>
            <w:vAlign w:val="center"/>
          </w:tcPr>
          <w:p w14:paraId="460BC7D6">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各乡镇（街道），区住建局、区能源局、区市场监管局等部门</w:t>
            </w:r>
          </w:p>
        </w:tc>
      </w:tr>
      <w:tr w14:paraId="3779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62" w:type="dxa"/>
            <w:vMerge w:val="continue"/>
            <w:noWrap w:val="0"/>
            <w:vAlign w:val="center"/>
          </w:tcPr>
          <w:p w14:paraId="00DC1FF8">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3024184C">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0F558473">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着力解决“两客一危一货一面”等</w:t>
            </w:r>
            <w:r>
              <w:rPr>
                <w:rFonts w:hint="eastAsia" w:ascii="仿宋" w:hAnsi="仿宋" w:eastAsia="仿宋" w:cs="仿宋"/>
                <w:color w:val="000000"/>
                <w:kern w:val="2"/>
                <w:sz w:val="28"/>
                <w:szCs w:val="28"/>
                <w:u w:val="none"/>
                <w:lang w:val="en-US" w:bidi="ar-SA"/>
              </w:rPr>
              <w:t>重点车辆</w:t>
            </w:r>
            <w:r>
              <w:rPr>
                <w:rFonts w:hint="eastAsia" w:ascii="仿宋" w:hAnsi="仿宋" w:eastAsia="仿宋" w:cs="仿宋"/>
                <w:color w:val="000000"/>
                <w:kern w:val="2"/>
                <w:sz w:val="28"/>
                <w:szCs w:val="28"/>
                <w:u w:val="none"/>
                <w:lang w:val="en-US" w:eastAsia="zh-CN" w:bidi="ar-SA"/>
              </w:rPr>
              <w:t>“三超一疲劳”、酒醉驾、旅游客车不按规定配备双驾驶人和不按规定线路行驶、重点营运车辆动态监控流于形式、公路行车速度管控不足、农用车违法载人，拖拉机、联合收割机无牌行驶、未检作业、无证驾驶，以及隧道照明、临水临崖、长大桥隧、急弯陡坡、校园门口基础防护设施不到位等问题</w:t>
            </w:r>
          </w:p>
        </w:tc>
        <w:tc>
          <w:tcPr>
            <w:tcW w:w="2371" w:type="dxa"/>
            <w:noWrap w:val="0"/>
            <w:vAlign w:val="center"/>
          </w:tcPr>
          <w:p w14:paraId="5CD09458">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各乡镇（街道），区交通运输局、区交警大队、区农业农村局、区文旅局、区教育局等部门</w:t>
            </w:r>
          </w:p>
        </w:tc>
      </w:tr>
      <w:tr w14:paraId="1C1D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962" w:type="dxa"/>
            <w:vMerge w:val="restart"/>
            <w:noWrap w:val="0"/>
            <w:vAlign w:val="center"/>
          </w:tcPr>
          <w:p w14:paraId="7B89EF33">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1902" w:type="dxa"/>
            <w:vMerge w:val="restart"/>
            <w:noWrap w:val="0"/>
            <w:vAlign w:val="center"/>
          </w:tcPr>
          <w:p w14:paraId="4655ACDA">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消除重大</w:t>
            </w:r>
          </w:p>
          <w:p w14:paraId="7FE963AC">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隐患</w:t>
            </w:r>
          </w:p>
        </w:tc>
        <w:tc>
          <w:tcPr>
            <w:tcW w:w="8225" w:type="dxa"/>
            <w:noWrap w:val="0"/>
            <w:vAlign w:val="center"/>
          </w:tcPr>
          <w:p w14:paraId="7F6E2F9D">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统筹推进安全生产治本攻坚三年行动，按照国务院安委会统一部署，开展企业主要负责人教育培训、从业人员安全素质提升、部门精准执法、事故隐患动态清零、安全科技支撑、全民安全素质提升等行动，落实人防、技防、工程防、管理防等措施，不断提升本质安全水平。</w:t>
            </w:r>
          </w:p>
        </w:tc>
        <w:tc>
          <w:tcPr>
            <w:tcW w:w="2371" w:type="dxa"/>
            <w:noWrap w:val="0"/>
            <w:vAlign w:val="center"/>
          </w:tcPr>
          <w:p w14:paraId="63A1689F">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各乡镇（街道），各</w:t>
            </w:r>
            <w:r>
              <w:rPr>
                <w:rFonts w:hint="eastAsia" w:ascii="仿宋" w:hAnsi="仿宋" w:eastAsia="仿宋" w:cs="仿宋"/>
                <w:sz w:val="28"/>
                <w:szCs w:val="28"/>
                <w:lang w:val="en-US" w:eastAsia="zh-CN"/>
              </w:rPr>
              <w:t>负有安全监管职责的部门</w:t>
            </w:r>
          </w:p>
        </w:tc>
      </w:tr>
      <w:tr w14:paraId="1D2A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962" w:type="dxa"/>
            <w:vMerge w:val="continue"/>
            <w:noWrap w:val="0"/>
            <w:vAlign w:val="center"/>
          </w:tcPr>
          <w:p w14:paraId="7ACBF664">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087F4718">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40526B6D">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加强燃气、人员密集场所动火作业、电动自行车、新能源充电基础设施、保温材料“一件事”全链条安全监管，深入开展岁末年初安全生产和自然灾害风险隐患排查整治专项行动，拉网式、地毯式、起底式排查整治事故灾害隐患。</w:t>
            </w:r>
          </w:p>
        </w:tc>
        <w:tc>
          <w:tcPr>
            <w:tcW w:w="2371" w:type="dxa"/>
            <w:noWrap w:val="0"/>
            <w:vAlign w:val="center"/>
          </w:tcPr>
          <w:p w14:paraId="718C7F40">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各乡镇（街道），区住建局、区消防救援大队、区能源局、区应急局、区市场监管局等部门</w:t>
            </w:r>
          </w:p>
        </w:tc>
      </w:tr>
      <w:tr w14:paraId="1C3A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0" w:hRule="atLeast"/>
        </w:trPr>
        <w:tc>
          <w:tcPr>
            <w:tcW w:w="962" w:type="dxa"/>
            <w:vMerge w:val="continue"/>
            <w:noWrap w:val="0"/>
            <w:vAlign w:val="center"/>
          </w:tcPr>
          <w:p w14:paraId="7F930017">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6652CC7D">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03C3D88C">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持续学好用好重大隐患判定标准及“一行业一清单”，落实重大隐患自查自改常态化机制和“双报告”制度，推进重大隐患动态清零。严格落实《长治市安全生产隐患源头治理工作指南》，坚持“源头上分析、系统上排查、根本上整改”理念，坚持“隐患描述、原因分析、追责问责、即时整改、源头治理”五步工作法，企业要建立健全事故隐患排查治理制度，完善事故隐患自查自改常态化动态清零机制，对排查出的各类隐患立整立改，不能立即整改的要明确整改期限，对重复出现的一般隐患和重点隐患要从隐患整改措施、整改质量、整改效果、责任单位和责任人验收等环节进行追溯，强化隐患源头治理。推行“发现隐患、移交办理、信息公开、督导巡查、考核通报”全过程闭环管理，严格执行重大隐患整改销号，逐条进行复查，确保重大隐患真正消除。</w:t>
            </w:r>
          </w:p>
        </w:tc>
        <w:tc>
          <w:tcPr>
            <w:tcW w:w="2371" w:type="dxa"/>
            <w:noWrap w:val="0"/>
            <w:vAlign w:val="center"/>
          </w:tcPr>
          <w:p w14:paraId="7550B96D">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各乡镇（街道），各</w:t>
            </w:r>
            <w:r>
              <w:rPr>
                <w:rFonts w:hint="eastAsia" w:ascii="仿宋" w:hAnsi="仿宋" w:eastAsia="仿宋" w:cs="仿宋"/>
                <w:sz w:val="28"/>
                <w:szCs w:val="28"/>
                <w:lang w:val="en-US" w:eastAsia="zh-CN"/>
              </w:rPr>
              <w:t>负有安全监管职责的部门</w:t>
            </w:r>
          </w:p>
        </w:tc>
      </w:tr>
      <w:tr w14:paraId="1537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62" w:type="dxa"/>
            <w:vMerge w:val="continue"/>
            <w:noWrap w:val="0"/>
            <w:vAlign w:val="center"/>
          </w:tcPr>
          <w:p w14:paraId="29BB0D1C">
            <w:pPr>
              <w:jc w:val="center"/>
              <w:rPr>
                <w:rFonts w:hint="eastAsia" w:ascii="仿宋" w:hAnsi="仿宋" w:eastAsia="仿宋" w:cs="仿宋"/>
                <w:sz w:val="28"/>
                <w:szCs w:val="28"/>
                <w:vertAlign w:val="baseline"/>
                <w:lang w:val="en-US" w:eastAsia="zh-CN"/>
              </w:rPr>
            </w:pPr>
          </w:p>
        </w:tc>
        <w:tc>
          <w:tcPr>
            <w:tcW w:w="1902" w:type="dxa"/>
            <w:vMerge w:val="continue"/>
            <w:noWrap w:val="0"/>
            <w:vAlign w:val="center"/>
          </w:tcPr>
          <w:p w14:paraId="44235E02">
            <w:pPr>
              <w:jc w:val="center"/>
              <w:rPr>
                <w:rStyle w:val="48"/>
                <w:rFonts w:hint="eastAsia" w:ascii="仿宋" w:hAnsi="仿宋" w:eastAsia="仿宋" w:cs="仿宋"/>
                <w:b/>
                <w:bCs/>
                <w:color w:val="000000"/>
                <w:kern w:val="2"/>
                <w:sz w:val="28"/>
                <w:szCs w:val="28"/>
                <w:u w:val="none"/>
                <w:lang w:val="en-US" w:eastAsia="zh-CN" w:bidi="ar-SA"/>
              </w:rPr>
            </w:pPr>
          </w:p>
        </w:tc>
        <w:tc>
          <w:tcPr>
            <w:tcW w:w="8225" w:type="dxa"/>
            <w:noWrap w:val="0"/>
            <w:vAlign w:val="center"/>
          </w:tcPr>
          <w:p w14:paraId="5F675173">
            <w:pPr>
              <w:pStyle w:val="6"/>
              <w:ind w:left="0" w:leftChars="0" w:firstLine="0" w:firstLineChars="0"/>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持续深化矿山领域“安全不确认”机制，坚决克服惯性思维，体现“安全不确认、坚决不开工”逆向理念，待安全不确认问题整改后，重新确认安全方可开工作业，并在其他重点高危行业领域推广推行。健全落实部门（企业）事故隐患举报（报告）奖励制度，对检查核查发现的重大隐患采取立案查处、公开曝光、追责问责，对主要负责人和企业“一案双罚”等措施。对严重违法行为依法采取限期整改、停产整顿、关闭取缔、上限处罚、联合惩戒，落实行刑衔接机制。</w:t>
            </w:r>
          </w:p>
        </w:tc>
        <w:tc>
          <w:tcPr>
            <w:tcW w:w="2371" w:type="dxa"/>
            <w:noWrap w:val="0"/>
            <w:vAlign w:val="center"/>
          </w:tcPr>
          <w:p w14:paraId="5461CFB1">
            <w:pPr>
              <w:pStyle w:val="6"/>
              <w:numPr>
                <w:ilvl w:val="0"/>
                <w:numId w:val="0"/>
              </w:num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各乡镇（街道），各</w:t>
            </w:r>
            <w:r>
              <w:rPr>
                <w:rFonts w:hint="eastAsia" w:ascii="仿宋" w:hAnsi="仿宋" w:eastAsia="仿宋" w:cs="仿宋"/>
                <w:sz w:val="28"/>
                <w:szCs w:val="28"/>
                <w:lang w:val="en-US" w:eastAsia="zh-CN"/>
              </w:rPr>
              <w:t>负有安全监管职责的部门</w:t>
            </w:r>
          </w:p>
        </w:tc>
      </w:tr>
      <w:tr w14:paraId="2661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2" w:type="dxa"/>
            <w:noWrap w:val="0"/>
            <w:vAlign w:val="center"/>
          </w:tcPr>
          <w:p w14:paraId="272BB184">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1902" w:type="dxa"/>
            <w:noWrap w:val="0"/>
            <w:vAlign w:val="center"/>
          </w:tcPr>
          <w:p w14:paraId="28EE933F">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创新监管</w:t>
            </w:r>
          </w:p>
          <w:p w14:paraId="190C2F35">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方式</w:t>
            </w:r>
          </w:p>
        </w:tc>
        <w:tc>
          <w:tcPr>
            <w:tcW w:w="8225" w:type="dxa"/>
            <w:noWrap w:val="0"/>
            <w:vAlign w:val="center"/>
          </w:tcPr>
          <w:p w14:paraId="6BDB7EC5">
            <w:pPr>
              <w:numPr>
                <w:ilvl w:val="0"/>
                <w:numId w:val="0"/>
              </w:numPr>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推动安全生产监管模式向事前预防转型，积极探索数字化赋能，加大“互联网＋执法”应用力度，推广“远程＋现场”执法。采取“四不两直”、</w:t>
            </w:r>
            <w:r>
              <w:rPr>
                <w:rFonts w:hint="eastAsia" w:ascii="仿宋" w:hAnsi="仿宋" w:eastAsia="仿宋" w:cs="仿宋"/>
                <w:sz w:val="28"/>
                <w:szCs w:val="28"/>
                <w:lang w:eastAsia="zh-CN"/>
              </w:rPr>
              <w:t>明</w:t>
            </w:r>
            <w:r>
              <w:rPr>
                <w:rFonts w:hint="eastAsia" w:ascii="仿宋" w:hAnsi="仿宋" w:eastAsia="仿宋" w:cs="仿宋"/>
                <w:sz w:val="28"/>
                <w:szCs w:val="28"/>
              </w:rPr>
              <w:t>查暗访、交叉执法等方式，深入推进精准严格执法，及时公布和处理检查发现的重大事故隐患。建立健全监管执法统计、执法考评和典型案例报送制度。强化专家配合执法、指导服务企业的技术支撑</w:t>
            </w:r>
          </w:p>
        </w:tc>
        <w:tc>
          <w:tcPr>
            <w:tcW w:w="2371" w:type="dxa"/>
            <w:noWrap w:val="0"/>
            <w:vAlign w:val="center"/>
          </w:tcPr>
          <w:p w14:paraId="228997A2">
            <w:pPr>
              <w:numPr>
                <w:ilvl w:val="0"/>
                <w:numId w:val="0"/>
              </w:numPr>
              <w:rPr>
                <w:rFonts w:hint="eastAsia" w:ascii="仿宋" w:hAnsi="仿宋" w:eastAsia="仿宋" w:cs="仿宋"/>
                <w:sz w:val="28"/>
                <w:szCs w:val="28"/>
                <w:lang w:val="en-US" w:eastAsia="zh-CN"/>
              </w:rPr>
            </w:pPr>
            <w:r>
              <w:rPr>
                <w:rFonts w:hint="eastAsia" w:ascii="仿宋" w:hAnsi="仿宋" w:eastAsia="仿宋" w:cs="仿宋"/>
                <w:spacing w:val="4"/>
                <w:sz w:val="28"/>
                <w:szCs w:val="28"/>
                <w:lang w:eastAsia="zh-CN"/>
              </w:rPr>
              <w:t>各乡镇（街道），各</w:t>
            </w:r>
            <w:r>
              <w:rPr>
                <w:rFonts w:hint="eastAsia" w:ascii="仿宋" w:hAnsi="仿宋" w:eastAsia="仿宋" w:cs="仿宋"/>
                <w:sz w:val="28"/>
                <w:szCs w:val="28"/>
                <w:lang w:val="en-US" w:eastAsia="zh-CN"/>
              </w:rPr>
              <w:t>负有安全监管职责的部门</w:t>
            </w:r>
          </w:p>
          <w:p w14:paraId="1CB2E9F9">
            <w:pPr>
              <w:jc w:val="center"/>
              <w:rPr>
                <w:rFonts w:hint="eastAsia" w:ascii="仿宋" w:hAnsi="仿宋" w:eastAsia="仿宋" w:cs="仿宋"/>
                <w:sz w:val="28"/>
                <w:szCs w:val="28"/>
                <w:vertAlign w:val="baseline"/>
                <w:lang w:val="en-US" w:eastAsia="zh-CN"/>
              </w:rPr>
            </w:pPr>
          </w:p>
        </w:tc>
      </w:tr>
      <w:tr w14:paraId="0728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 w:type="dxa"/>
            <w:noWrap w:val="0"/>
            <w:vAlign w:val="center"/>
          </w:tcPr>
          <w:p w14:paraId="32E94A22">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c>
          <w:tcPr>
            <w:tcW w:w="1902" w:type="dxa"/>
            <w:noWrap w:val="0"/>
            <w:vAlign w:val="center"/>
          </w:tcPr>
          <w:p w14:paraId="7450D023">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推进信息化建设</w:t>
            </w:r>
          </w:p>
        </w:tc>
        <w:tc>
          <w:tcPr>
            <w:tcW w:w="8225" w:type="dxa"/>
            <w:noWrap w:val="0"/>
            <w:vAlign w:val="center"/>
          </w:tcPr>
          <w:p w14:paraId="5F985294">
            <w:pPr>
              <w:pStyle w:val="6"/>
              <w:numPr>
                <w:ilvl w:val="0"/>
                <w:numId w:val="0"/>
              </w:numPr>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推广“智慧应急”，实施“应急大脑”工程，加强风险普查数据应用，汇聚融合安全生产、自然灾害、抢险救援等基础信息数据，实现跨层级、跨部门的信息共享和业务协同，全面提升监测预警、决策指挥和响应处置能力。将视频指挥调度平台延伸至乡镇级，实现应急指令直达基层。打造无人机2小时可抵达的视频图传、三维建模和通信保障服务圈。大力推进矿山智能化建设，灾害严重煤矿基本实现智能化。开展自然灾害应急能力提升工程项目建设，配备音视频指挥调度等设施设备。推进应急数据汇聚服务、应急管理指挥调度等项目建设。加大城市智慧消防、消防大数据平台、消防物联网监控系统区级预警中心建设应用力度。年底前实现矿山、重点粉尘涉爆等企业安全风险监测预警全覆盖，建成化工和危险化学品重大危险源</w:t>
            </w:r>
            <w:r>
              <w:rPr>
                <w:rFonts w:hint="eastAsia" w:ascii="仿宋" w:hAnsi="仿宋" w:eastAsia="仿宋" w:cs="仿宋"/>
                <w:color w:val="000000"/>
                <w:kern w:val="2"/>
                <w:sz w:val="28"/>
                <w:szCs w:val="28"/>
                <w:u w:val="none"/>
                <w:lang w:val="en-US" w:bidi="ar-SA"/>
              </w:rPr>
              <w:t>企业</w:t>
            </w:r>
            <w:r>
              <w:rPr>
                <w:rFonts w:hint="eastAsia" w:ascii="仿宋" w:hAnsi="仿宋" w:eastAsia="仿宋" w:cs="仿宋"/>
                <w:color w:val="000000"/>
                <w:kern w:val="2"/>
                <w:sz w:val="28"/>
                <w:szCs w:val="28"/>
                <w:u w:val="none"/>
                <w:lang w:val="en-US" w:eastAsia="zh-CN" w:bidi="ar-SA"/>
              </w:rPr>
              <w:t>特殊</w:t>
            </w:r>
            <w:r>
              <w:rPr>
                <w:rFonts w:hint="eastAsia" w:ascii="仿宋" w:hAnsi="仿宋" w:eastAsia="仿宋" w:cs="仿宋"/>
                <w:color w:val="000000"/>
                <w:kern w:val="2"/>
                <w:sz w:val="28"/>
                <w:szCs w:val="28"/>
                <w:u w:val="none"/>
                <w:lang w:val="en-US" w:bidi="ar-SA"/>
              </w:rPr>
              <w:t>作业</w:t>
            </w:r>
            <w:r>
              <w:rPr>
                <w:rFonts w:hint="eastAsia" w:ascii="仿宋" w:hAnsi="仿宋" w:eastAsia="仿宋" w:cs="仿宋"/>
                <w:color w:val="000000"/>
                <w:kern w:val="2"/>
                <w:sz w:val="28"/>
                <w:szCs w:val="28"/>
                <w:u w:val="none"/>
                <w:lang w:val="en-US" w:eastAsia="zh-CN" w:bidi="ar-SA"/>
              </w:rPr>
              <w:t>审批与作业管理场景和</w:t>
            </w:r>
            <w:r>
              <w:rPr>
                <w:rFonts w:hint="eastAsia" w:ascii="仿宋" w:hAnsi="仿宋" w:eastAsia="仿宋" w:cs="仿宋"/>
                <w:color w:val="000000"/>
                <w:kern w:val="2"/>
                <w:sz w:val="28"/>
                <w:szCs w:val="28"/>
                <w:u w:val="none"/>
                <w:lang w:val="en-US" w:bidi="ar-SA"/>
              </w:rPr>
              <w:t>人员定位</w:t>
            </w:r>
            <w:r>
              <w:rPr>
                <w:rFonts w:hint="eastAsia" w:ascii="仿宋" w:hAnsi="仿宋" w:eastAsia="仿宋" w:cs="仿宋"/>
                <w:color w:val="000000"/>
                <w:kern w:val="2"/>
                <w:sz w:val="28"/>
                <w:szCs w:val="28"/>
                <w:u w:val="none"/>
                <w:lang w:val="en-US" w:eastAsia="zh-CN" w:bidi="ar-SA"/>
              </w:rPr>
              <w:t>等</w:t>
            </w:r>
            <w:r>
              <w:rPr>
                <w:rFonts w:hint="eastAsia" w:ascii="仿宋" w:hAnsi="仿宋" w:eastAsia="仿宋" w:cs="仿宋"/>
                <w:color w:val="000000"/>
                <w:kern w:val="2"/>
                <w:sz w:val="28"/>
                <w:szCs w:val="28"/>
                <w:u w:val="none"/>
                <w:lang w:val="en-US" w:bidi="ar-SA"/>
              </w:rPr>
              <w:t>系</w:t>
            </w:r>
            <w:r>
              <w:rPr>
                <w:rFonts w:hint="eastAsia" w:ascii="仿宋" w:hAnsi="仿宋" w:eastAsia="仿宋" w:cs="仿宋"/>
                <w:color w:val="000000"/>
                <w:kern w:val="2"/>
                <w:sz w:val="28"/>
                <w:szCs w:val="28"/>
                <w:u w:val="none"/>
                <w:lang w:val="en-US" w:eastAsia="zh-CN" w:bidi="ar-SA"/>
              </w:rPr>
              <w:t>统。</w:t>
            </w:r>
          </w:p>
        </w:tc>
        <w:tc>
          <w:tcPr>
            <w:tcW w:w="2371" w:type="dxa"/>
            <w:noWrap w:val="0"/>
            <w:vAlign w:val="center"/>
          </w:tcPr>
          <w:p w14:paraId="48D438E7">
            <w:pPr>
              <w:numPr>
                <w:ilvl w:val="0"/>
                <w:numId w:val="0"/>
              </w:numP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各乡镇（街道），各</w:t>
            </w:r>
            <w:r>
              <w:rPr>
                <w:rFonts w:hint="eastAsia" w:ascii="仿宋" w:hAnsi="仿宋" w:eastAsia="仿宋" w:cs="仿宋"/>
                <w:sz w:val="28"/>
                <w:szCs w:val="28"/>
                <w:lang w:val="en-US" w:eastAsia="zh-CN"/>
              </w:rPr>
              <w:t>负有安全监管职责的部门</w:t>
            </w:r>
          </w:p>
        </w:tc>
      </w:tr>
      <w:tr w14:paraId="21B1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2" w:type="dxa"/>
            <w:noWrap w:val="0"/>
            <w:vAlign w:val="center"/>
          </w:tcPr>
          <w:p w14:paraId="46C008D0">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c>
          <w:tcPr>
            <w:tcW w:w="1902" w:type="dxa"/>
            <w:noWrap w:val="0"/>
            <w:vAlign w:val="center"/>
          </w:tcPr>
          <w:p w14:paraId="2DC16B75">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深化工程</w:t>
            </w:r>
          </w:p>
          <w:p w14:paraId="5C93E5A6">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治理</w:t>
            </w:r>
          </w:p>
        </w:tc>
        <w:tc>
          <w:tcPr>
            <w:tcW w:w="8225" w:type="dxa"/>
            <w:noWrap w:val="0"/>
            <w:vAlign w:val="center"/>
          </w:tcPr>
          <w:p w14:paraId="47FB4644">
            <w:pPr>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依托国家“两重”“两新”政策，加快矿山升级改造，持续推进煤矿“一优三减”，推广沿空留巷、无煤柱开采、放顶煤改一次采全高等工艺。深入推进煤矿区域性隐蔽致灾因素普查，2025年6月底前完成。扎实开展重大水害、瓦斯等工程治理。加快推进老旧场所消防设施升级改造、公路安全生命防护工程建设、水库除险加固、电梯安全筑底、铁路平交道口改造、消防“生命通道”畅通等安全治理工程。开展地震灾害危险源和风险源探查，加快实施巨灾防范工程和地震烈度速报与预警工程建设。</w:t>
            </w:r>
          </w:p>
        </w:tc>
        <w:tc>
          <w:tcPr>
            <w:tcW w:w="2371" w:type="dxa"/>
            <w:noWrap w:val="0"/>
            <w:vAlign w:val="center"/>
          </w:tcPr>
          <w:p w14:paraId="167A7AD4">
            <w:pPr>
              <w:jc w:val="cente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住建局、交通运输局、水利局、应急局、市场监管局、能源局、消防救援大队等部门分工负责</w:t>
            </w:r>
          </w:p>
        </w:tc>
      </w:tr>
      <w:tr w14:paraId="402C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 w:type="dxa"/>
            <w:noWrap w:val="0"/>
            <w:vAlign w:val="center"/>
          </w:tcPr>
          <w:p w14:paraId="7BF13E2E">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w:t>
            </w:r>
          </w:p>
        </w:tc>
        <w:tc>
          <w:tcPr>
            <w:tcW w:w="1902" w:type="dxa"/>
            <w:noWrap w:val="0"/>
            <w:vAlign w:val="center"/>
          </w:tcPr>
          <w:p w14:paraId="5373A59B">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强化监测</w:t>
            </w:r>
          </w:p>
          <w:p w14:paraId="55839D3D">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预警</w:t>
            </w:r>
          </w:p>
        </w:tc>
        <w:tc>
          <w:tcPr>
            <w:tcW w:w="8225" w:type="dxa"/>
            <w:noWrap w:val="0"/>
            <w:vAlign w:val="center"/>
          </w:tcPr>
          <w:p w14:paraId="2435FD7C">
            <w:pPr>
              <w:pStyle w:val="6"/>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bidi="ar-SA"/>
              </w:rPr>
              <w:t>推进自然灾害综合风险监测预警信息化建设，形成自然灾害监测预警合力。强化预警和应急响应联动，完善直达基层责任人的预警“叫应”和跟踪反馈机制。推动建立重点林区雷击火预警系统。加强中小流域极端暴雨洪涝综合应急监测能力建设。推进地质灾害自动化监测和气象风险预警网络建设。</w:t>
            </w:r>
          </w:p>
        </w:tc>
        <w:tc>
          <w:tcPr>
            <w:tcW w:w="2371" w:type="dxa"/>
            <w:noWrap w:val="0"/>
            <w:vAlign w:val="center"/>
          </w:tcPr>
          <w:p w14:paraId="6553086B">
            <w:pPr>
              <w:jc w:val="cente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bidi="ar-SA"/>
              </w:rPr>
              <w:t>自然资源</w:t>
            </w:r>
            <w:r>
              <w:rPr>
                <w:rFonts w:hint="eastAsia" w:ascii="仿宋" w:hAnsi="仿宋" w:eastAsia="仿宋" w:cs="仿宋"/>
                <w:color w:val="000000"/>
                <w:kern w:val="2"/>
                <w:sz w:val="28"/>
                <w:szCs w:val="28"/>
                <w:u w:val="none"/>
                <w:lang w:val="en-US" w:eastAsia="zh-CN" w:bidi="ar-SA"/>
              </w:rPr>
              <w:t>局</w:t>
            </w:r>
            <w:r>
              <w:rPr>
                <w:rFonts w:hint="eastAsia" w:ascii="仿宋" w:hAnsi="仿宋" w:eastAsia="仿宋" w:cs="仿宋"/>
                <w:color w:val="000000"/>
                <w:kern w:val="2"/>
                <w:sz w:val="28"/>
                <w:szCs w:val="28"/>
                <w:u w:val="none"/>
                <w:lang w:val="en-US" w:bidi="ar-SA"/>
              </w:rPr>
              <w:t>、水利</w:t>
            </w:r>
            <w:r>
              <w:rPr>
                <w:rFonts w:hint="eastAsia" w:ascii="仿宋" w:hAnsi="仿宋" w:eastAsia="仿宋" w:cs="仿宋"/>
                <w:color w:val="000000"/>
                <w:kern w:val="2"/>
                <w:sz w:val="28"/>
                <w:szCs w:val="28"/>
                <w:u w:val="none"/>
                <w:lang w:val="en-US" w:eastAsia="zh-CN" w:bidi="ar-SA"/>
              </w:rPr>
              <w:t>局</w:t>
            </w:r>
            <w:r>
              <w:rPr>
                <w:rFonts w:hint="eastAsia" w:ascii="仿宋" w:hAnsi="仿宋" w:eastAsia="仿宋" w:cs="仿宋"/>
                <w:color w:val="000000"/>
                <w:kern w:val="2"/>
                <w:sz w:val="28"/>
                <w:szCs w:val="28"/>
                <w:u w:val="none"/>
                <w:lang w:val="en-US" w:bidi="ar-SA"/>
              </w:rPr>
              <w:t>、应急</w:t>
            </w:r>
            <w:r>
              <w:rPr>
                <w:rFonts w:hint="eastAsia" w:ascii="仿宋" w:hAnsi="仿宋" w:eastAsia="仿宋" w:cs="仿宋"/>
                <w:color w:val="000000"/>
                <w:kern w:val="2"/>
                <w:sz w:val="28"/>
                <w:szCs w:val="28"/>
                <w:u w:val="none"/>
                <w:lang w:val="en-US" w:eastAsia="zh-CN" w:bidi="ar-SA"/>
              </w:rPr>
              <w:t>局</w:t>
            </w:r>
            <w:r>
              <w:rPr>
                <w:rFonts w:hint="eastAsia" w:ascii="仿宋" w:hAnsi="仿宋" w:eastAsia="仿宋" w:cs="仿宋"/>
                <w:color w:val="000000"/>
                <w:kern w:val="2"/>
                <w:sz w:val="28"/>
                <w:szCs w:val="28"/>
                <w:u w:val="none"/>
                <w:lang w:val="en-US" w:bidi="ar-SA"/>
              </w:rPr>
              <w:t>等部门分工负责</w:t>
            </w:r>
          </w:p>
        </w:tc>
      </w:tr>
      <w:tr w14:paraId="7A52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62" w:type="dxa"/>
            <w:noWrap w:val="0"/>
            <w:vAlign w:val="center"/>
          </w:tcPr>
          <w:p w14:paraId="326C217E">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17</w:t>
            </w:r>
          </w:p>
        </w:tc>
        <w:tc>
          <w:tcPr>
            <w:tcW w:w="1902" w:type="dxa"/>
            <w:noWrap w:val="0"/>
            <w:vAlign w:val="center"/>
          </w:tcPr>
          <w:p w14:paraId="07C822C9">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修订应急</w:t>
            </w:r>
          </w:p>
          <w:p w14:paraId="07420BD1">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预案</w:t>
            </w:r>
          </w:p>
        </w:tc>
        <w:tc>
          <w:tcPr>
            <w:tcW w:w="8225" w:type="dxa"/>
            <w:noWrap w:val="0"/>
            <w:vAlign w:val="center"/>
          </w:tcPr>
          <w:p w14:paraId="2947A260">
            <w:pPr>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修订区级</w:t>
            </w:r>
            <w:r>
              <w:rPr>
                <w:rFonts w:hint="eastAsia" w:ascii="仿宋" w:hAnsi="仿宋" w:eastAsia="仿宋" w:cs="仿宋"/>
                <w:color w:val="000000"/>
                <w:kern w:val="2"/>
                <w:sz w:val="28"/>
                <w:szCs w:val="28"/>
                <w:u w:val="none"/>
                <w:lang w:val="en-US" w:bidi="ar-SA"/>
              </w:rPr>
              <w:t>突发事件总体应急预案</w:t>
            </w:r>
            <w:r>
              <w:rPr>
                <w:rFonts w:hint="eastAsia" w:ascii="仿宋" w:hAnsi="仿宋" w:eastAsia="仿宋" w:cs="仿宋"/>
                <w:color w:val="000000"/>
                <w:kern w:val="2"/>
                <w:sz w:val="28"/>
                <w:szCs w:val="28"/>
                <w:u w:val="none"/>
                <w:lang w:val="en-US" w:eastAsia="zh-CN" w:bidi="ar-SA"/>
              </w:rPr>
              <w:t>，适时修编安全生产、火灾、地震、地质灾害、低温雨雪冰冻灾害和应急物资保障等专项预案；相关部门要结合我区灾害事故风险特点，指导乡镇（街道）编制并动态修订上下衔接的综合应急预案、专项应急预案和简明实用的村（社区）“一制三案”（突发事件应急包保责任制和防火、防汛、防地震地质灾害应急预案），制定重点岗位应急处置卡。实现应急培训手册化、应急处置图表化、应急指挥卡片化。区政府牵头年内至少组织开展一次综合性演练。督促企业定期开展应急演练</w:t>
            </w:r>
          </w:p>
        </w:tc>
        <w:tc>
          <w:tcPr>
            <w:tcW w:w="2371" w:type="dxa"/>
            <w:noWrap w:val="0"/>
            <w:vAlign w:val="center"/>
          </w:tcPr>
          <w:p w14:paraId="2EEF7531">
            <w:pPr>
              <w:jc w:val="cente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安委会各有关成员单位</w:t>
            </w:r>
          </w:p>
        </w:tc>
      </w:tr>
      <w:tr w14:paraId="2548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14:paraId="49506AAC">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w:t>
            </w:r>
          </w:p>
        </w:tc>
        <w:tc>
          <w:tcPr>
            <w:tcW w:w="1902" w:type="dxa"/>
            <w:noWrap w:val="0"/>
            <w:vAlign w:val="center"/>
          </w:tcPr>
          <w:p w14:paraId="3854F276">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加强队伍</w:t>
            </w:r>
          </w:p>
          <w:p w14:paraId="36FB0771">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建设</w:t>
            </w:r>
          </w:p>
        </w:tc>
        <w:tc>
          <w:tcPr>
            <w:tcW w:w="8225" w:type="dxa"/>
            <w:noWrap w:val="0"/>
            <w:vAlign w:val="center"/>
          </w:tcPr>
          <w:p w14:paraId="21850729">
            <w:pPr>
              <w:pStyle w:val="6"/>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eastAsia="zh-CN"/>
              </w:rPr>
              <w:t>深化</w:t>
            </w:r>
            <w:r>
              <w:rPr>
                <w:rFonts w:hint="eastAsia" w:ascii="仿宋" w:hAnsi="仿宋" w:eastAsia="仿宋" w:cs="仿宋"/>
                <w:sz w:val="28"/>
                <w:szCs w:val="28"/>
              </w:rPr>
              <w:t>“企业安全管理、</w:t>
            </w:r>
            <w:r>
              <w:rPr>
                <w:rFonts w:hint="eastAsia" w:ascii="仿宋" w:hAnsi="仿宋" w:eastAsia="仿宋" w:cs="仿宋"/>
                <w:sz w:val="28"/>
                <w:szCs w:val="28"/>
                <w:lang w:eastAsia="zh-CN"/>
              </w:rPr>
              <w:t>全员</w:t>
            </w:r>
            <w:r>
              <w:rPr>
                <w:rFonts w:hint="eastAsia" w:ascii="仿宋" w:hAnsi="仿宋" w:eastAsia="仿宋" w:cs="仿宋"/>
                <w:sz w:val="28"/>
                <w:szCs w:val="28"/>
              </w:rPr>
              <w:t>安全素质、部门安全监管”提档升级工程，进一步巩固基础、弥补短板、扩面提质，提高本质安全水平。完善基层应急管理和消防组织体系，加强人员力量配备。</w:t>
            </w:r>
            <w:r>
              <w:rPr>
                <w:rFonts w:hint="eastAsia" w:ascii="仿宋" w:hAnsi="仿宋" w:eastAsia="仿宋" w:cs="仿宋"/>
                <w:color w:val="000000"/>
                <w:kern w:val="2"/>
                <w:sz w:val="28"/>
                <w:szCs w:val="28"/>
                <w:u w:val="none"/>
                <w:lang w:val="en-US" w:eastAsia="zh-CN" w:bidi="ar-SA"/>
              </w:rPr>
              <w:t>开展基层防灾能力提升项目建设，加快补齐应急救援队伍装备短板。加强综合性消防救援队伍、森林防灭火队伍，以及企业专职和基层专兼职应急救援力量建设，整合专业救援队伍成为新型综合性救援队伍。推进综合救援力量建设，全力打造“一专多能型”综合应急救援力量。开展社会应急力量分类分级测评工作，不断完善“综合+专业+社会”应急救援力量体系。</w:t>
            </w:r>
          </w:p>
        </w:tc>
        <w:tc>
          <w:tcPr>
            <w:tcW w:w="2371" w:type="dxa"/>
            <w:noWrap w:val="0"/>
            <w:vAlign w:val="center"/>
          </w:tcPr>
          <w:p w14:paraId="6208DE2E">
            <w:pPr>
              <w:jc w:val="cente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自然资源局、应急局、消防救援大队、</w:t>
            </w:r>
            <w:r>
              <w:rPr>
                <w:rFonts w:hint="eastAsia" w:ascii="仿宋" w:hAnsi="仿宋" w:eastAsia="仿宋" w:cs="仿宋"/>
                <w:sz w:val="28"/>
                <w:szCs w:val="28"/>
              </w:rPr>
              <w:t>发改委、财政局</w:t>
            </w:r>
            <w:r>
              <w:rPr>
                <w:rFonts w:hint="eastAsia" w:ascii="仿宋" w:hAnsi="仿宋" w:eastAsia="仿宋" w:cs="仿宋"/>
                <w:color w:val="000000"/>
                <w:kern w:val="2"/>
                <w:sz w:val="28"/>
                <w:szCs w:val="28"/>
                <w:u w:val="none"/>
                <w:lang w:val="en-US" w:eastAsia="zh-CN" w:bidi="ar-SA"/>
              </w:rPr>
              <w:t>等部门分工负责</w:t>
            </w:r>
          </w:p>
        </w:tc>
      </w:tr>
      <w:tr w14:paraId="4156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62" w:type="dxa"/>
            <w:noWrap w:val="0"/>
            <w:vAlign w:val="center"/>
          </w:tcPr>
          <w:p w14:paraId="7C71063E">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19</w:t>
            </w:r>
          </w:p>
        </w:tc>
        <w:tc>
          <w:tcPr>
            <w:tcW w:w="1902" w:type="dxa"/>
            <w:noWrap w:val="0"/>
            <w:vAlign w:val="center"/>
          </w:tcPr>
          <w:p w14:paraId="1EEF679C">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配齐应急</w:t>
            </w:r>
          </w:p>
          <w:p w14:paraId="4E2D8712">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装备</w:t>
            </w:r>
          </w:p>
        </w:tc>
        <w:tc>
          <w:tcPr>
            <w:tcW w:w="8225" w:type="dxa"/>
            <w:noWrap w:val="0"/>
            <w:vAlign w:val="center"/>
          </w:tcPr>
          <w:p w14:paraId="2B9F7106">
            <w:pPr>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实施基层防灾工程项目，进一步提升基层应急救援队伍的装备水平和救援能力。采取政府支持、企业自主、社会援助等方式，为应急救援队伍配备急需的的高层灭火救援、城市防汛排涝等先进适用的装备器材。在重点区域和高风险乡镇（街道）、村（社区）配备卫星通信终端、险情监控、救生防护等必要物资装备。</w:t>
            </w:r>
          </w:p>
        </w:tc>
        <w:tc>
          <w:tcPr>
            <w:tcW w:w="2371" w:type="dxa"/>
            <w:noWrap w:val="0"/>
            <w:vAlign w:val="center"/>
          </w:tcPr>
          <w:p w14:paraId="2D2ECD59">
            <w:pP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应急局、消防救援大队、水利局、财政局等部门分工负责</w:t>
            </w:r>
          </w:p>
        </w:tc>
      </w:tr>
      <w:tr w14:paraId="47A0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 w:type="dxa"/>
            <w:noWrap w:val="0"/>
            <w:vAlign w:val="center"/>
          </w:tcPr>
          <w:p w14:paraId="1239B715">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c>
          <w:tcPr>
            <w:tcW w:w="1902" w:type="dxa"/>
            <w:noWrap w:val="0"/>
            <w:vAlign w:val="center"/>
          </w:tcPr>
          <w:p w14:paraId="7DE8E3C0">
            <w:pPr>
              <w:jc w:val="center"/>
              <w:rPr>
                <w:rStyle w:val="48"/>
                <w:rFonts w:hint="eastAsia" w:ascii="仿宋" w:hAnsi="仿宋" w:eastAsia="仿宋" w:cs="仿宋"/>
                <w:b/>
                <w:bCs/>
                <w:color w:val="000000"/>
                <w:kern w:val="2"/>
                <w:sz w:val="28"/>
                <w:szCs w:val="28"/>
                <w:u w:val="none"/>
                <w:lang w:val="en-US" w:bidi="ar-SA"/>
              </w:rPr>
            </w:pPr>
            <w:r>
              <w:rPr>
                <w:rStyle w:val="48"/>
                <w:rFonts w:hint="eastAsia" w:ascii="仿宋" w:hAnsi="仿宋" w:eastAsia="仿宋" w:cs="仿宋"/>
                <w:b/>
                <w:bCs/>
                <w:color w:val="000000"/>
                <w:kern w:val="2"/>
                <w:sz w:val="28"/>
                <w:szCs w:val="28"/>
                <w:u w:val="none"/>
                <w:lang w:val="en-US" w:bidi="ar-SA"/>
              </w:rPr>
              <w:t>加强基地</w:t>
            </w:r>
          </w:p>
          <w:p w14:paraId="214A2231">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建设</w:t>
            </w:r>
          </w:p>
        </w:tc>
        <w:tc>
          <w:tcPr>
            <w:tcW w:w="8225" w:type="dxa"/>
            <w:noWrap w:val="0"/>
            <w:vAlign w:val="center"/>
          </w:tcPr>
          <w:p w14:paraId="2F42C421">
            <w:pPr>
              <w:pStyle w:val="6"/>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bidi="ar-SA"/>
              </w:rPr>
              <w:t>合理规划</w:t>
            </w:r>
            <w:r>
              <w:rPr>
                <w:rFonts w:hint="eastAsia" w:ascii="仿宋" w:hAnsi="仿宋" w:eastAsia="仿宋" w:cs="仿宋"/>
                <w:color w:val="000000"/>
                <w:kern w:val="2"/>
                <w:sz w:val="28"/>
                <w:szCs w:val="28"/>
                <w:u w:val="none"/>
                <w:lang w:val="en-US" w:eastAsia="zh-CN" w:bidi="ar-SA"/>
              </w:rPr>
              <w:t>建设</w:t>
            </w:r>
            <w:r>
              <w:rPr>
                <w:rFonts w:hint="eastAsia" w:ascii="仿宋" w:hAnsi="仿宋" w:eastAsia="仿宋" w:cs="仿宋"/>
                <w:color w:val="000000"/>
                <w:kern w:val="2"/>
                <w:sz w:val="28"/>
                <w:szCs w:val="28"/>
                <w:u w:val="none"/>
                <w:lang w:val="en-US" w:bidi="ar-SA"/>
              </w:rPr>
              <w:t>应急物资储备点</w:t>
            </w:r>
            <w:r>
              <w:rPr>
                <w:rFonts w:hint="eastAsia" w:ascii="仿宋" w:hAnsi="仿宋" w:eastAsia="仿宋" w:cs="仿宋"/>
                <w:color w:val="000000"/>
                <w:kern w:val="2"/>
                <w:sz w:val="28"/>
                <w:szCs w:val="28"/>
                <w:u w:val="none"/>
                <w:lang w:val="en-US" w:eastAsia="zh-CN" w:bidi="ar-SA"/>
              </w:rPr>
              <w:t>，</w:t>
            </w:r>
            <w:r>
              <w:rPr>
                <w:rFonts w:hint="eastAsia" w:ascii="仿宋" w:hAnsi="仿宋" w:eastAsia="仿宋" w:cs="仿宋"/>
                <w:color w:val="000000"/>
                <w:kern w:val="2"/>
                <w:sz w:val="28"/>
                <w:szCs w:val="28"/>
                <w:u w:val="none"/>
                <w:lang w:val="en-US" w:bidi="ar-SA"/>
              </w:rPr>
              <w:t>对市场保有量充足、保质期短、养护成本高的物资，</w:t>
            </w:r>
            <w:r>
              <w:rPr>
                <w:rFonts w:hint="eastAsia" w:ascii="仿宋" w:hAnsi="仿宋" w:eastAsia="仿宋" w:cs="仿宋"/>
                <w:color w:val="000000"/>
                <w:kern w:val="2"/>
                <w:sz w:val="28"/>
                <w:szCs w:val="28"/>
                <w:u w:val="none"/>
                <w:lang w:val="en-US" w:eastAsia="zh-CN" w:bidi="ar-SA"/>
              </w:rPr>
              <w:t>采取实物与协议相结合的方式进行储备</w:t>
            </w:r>
            <w:r>
              <w:rPr>
                <w:rFonts w:hint="eastAsia" w:ascii="仿宋" w:hAnsi="仿宋" w:eastAsia="仿宋" w:cs="仿宋"/>
                <w:color w:val="000000"/>
                <w:kern w:val="2"/>
                <w:sz w:val="28"/>
                <w:szCs w:val="28"/>
                <w:u w:val="none"/>
                <w:lang w:val="en-US" w:bidi="ar-SA"/>
              </w:rPr>
              <w:t>。建立健全跨部门应急物资调拨协调机制，</w:t>
            </w:r>
            <w:r>
              <w:rPr>
                <w:rFonts w:hint="eastAsia" w:ascii="仿宋" w:hAnsi="仿宋" w:eastAsia="仿宋" w:cs="仿宋"/>
                <w:color w:val="000000"/>
                <w:kern w:val="2"/>
                <w:sz w:val="28"/>
                <w:szCs w:val="28"/>
                <w:u w:val="none"/>
                <w:lang w:val="en-US" w:eastAsia="zh-CN" w:bidi="ar-SA"/>
              </w:rPr>
              <w:t>做好冬春救助和应急救助工作</w:t>
            </w:r>
            <w:r>
              <w:rPr>
                <w:rFonts w:hint="eastAsia" w:ascii="仿宋" w:hAnsi="仿宋" w:eastAsia="仿宋" w:cs="仿宋"/>
                <w:color w:val="000000"/>
                <w:kern w:val="2"/>
                <w:sz w:val="28"/>
                <w:szCs w:val="28"/>
                <w:u w:val="none"/>
                <w:lang w:val="en-US" w:bidi="ar-SA"/>
              </w:rPr>
              <w:t>。</w:t>
            </w:r>
            <w:r>
              <w:rPr>
                <w:rFonts w:hint="eastAsia" w:ascii="仿宋" w:hAnsi="仿宋" w:eastAsia="仿宋" w:cs="仿宋"/>
                <w:color w:val="000000"/>
                <w:kern w:val="2"/>
                <w:sz w:val="28"/>
                <w:szCs w:val="28"/>
                <w:u w:val="none"/>
                <w:lang w:val="en-US" w:eastAsia="zh-CN" w:bidi="ar-SA"/>
              </w:rPr>
              <w:t>科学规划并推动建设能够满足森林火灾救援的停机坪、取水点、防火应急通道。编制应急避难场所专项规划，年底前力争每个村（社区）至少建成1处应急避难场所。</w:t>
            </w:r>
          </w:p>
        </w:tc>
        <w:tc>
          <w:tcPr>
            <w:tcW w:w="2371" w:type="dxa"/>
            <w:noWrap w:val="0"/>
            <w:vAlign w:val="center"/>
          </w:tcPr>
          <w:p w14:paraId="76209AE3">
            <w:pPr>
              <w:pStyle w:val="6"/>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交通运输局、应急局、水利局、发改科技局、自然资源局等部门分工负责</w:t>
            </w:r>
          </w:p>
        </w:tc>
      </w:tr>
      <w:tr w14:paraId="15EE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2" w:type="dxa"/>
            <w:noWrap w:val="0"/>
            <w:vAlign w:val="center"/>
          </w:tcPr>
          <w:p w14:paraId="1493C8B0">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w:t>
            </w:r>
          </w:p>
        </w:tc>
        <w:tc>
          <w:tcPr>
            <w:tcW w:w="1902" w:type="dxa"/>
            <w:noWrap w:val="0"/>
            <w:vAlign w:val="center"/>
          </w:tcPr>
          <w:p w14:paraId="19FA013B">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开展实战</w:t>
            </w:r>
          </w:p>
          <w:p w14:paraId="1C1AAE87">
            <w:pPr>
              <w:jc w:val="center"/>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练兵</w:t>
            </w:r>
          </w:p>
        </w:tc>
        <w:tc>
          <w:tcPr>
            <w:tcW w:w="8225" w:type="dxa"/>
            <w:noWrap w:val="0"/>
            <w:vAlign w:val="center"/>
          </w:tcPr>
          <w:p w14:paraId="241E6508">
            <w:pPr>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bidi="ar-SA"/>
              </w:rPr>
              <w:t>以建设应急指挥一流、应急队伍一流、应急装备一流为目标，加强各类救援队伍</w:t>
            </w:r>
            <w:r>
              <w:rPr>
                <w:rFonts w:hint="eastAsia" w:ascii="仿宋" w:hAnsi="仿宋" w:eastAsia="仿宋" w:cs="仿宋"/>
                <w:color w:val="000000"/>
                <w:kern w:val="2"/>
                <w:sz w:val="28"/>
                <w:szCs w:val="28"/>
                <w:u w:val="none"/>
                <w:lang w:val="en-US" w:eastAsia="zh-CN" w:bidi="ar-SA"/>
              </w:rPr>
              <w:t>之</w:t>
            </w:r>
            <w:r>
              <w:rPr>
                <w:rFonts w:hint="eastAsia" w:ascii="仿宋" w:hAnsi="仿宋" w:eastAsia="仿宋" w:cs="仿宋"/>
                <w:color w:val="000000"/>
                <w:kern w:val="2"/>
                <w:sz w:val="28"/>
                <w:szCs w:val="28"/>
                <w:u w:val="none"/>
                <w:lang w:val="en-US" w:bidi="ar-SA"/>
              </w:rPr>
              <w:t>间的联勤、联训、联演、联战，开展大练兵活动。针对重点行业</w:t>
            </w:r>
            <w:r>
              <w:rPr>
                <w:rFonts w:hint="eastAsia" w:ascii="仿宋" w:hAnsi="仿宋" w:eastAsia="仿宋" w:cs="仿宋"/>
                <w:color w:val="000000"/>
                <w:kern w:val="2"/>
                <w:sz w:val="28"/>
                <w:szCs w:val="28"/>
                <w:u w:val="none"/>
                <w:lang w:val="en-US" w:eastAsia="zh-CN" w:bidi="ar-SA"/>
              </w:rPr>
              <w:t>领域或重大自然灾害</w:t>
            </w:r>
            <w:r>
              <w:rPr>
                <w:rFonts w:hint="eastAsia" w:ascii="仿宋" w:hAnsi="仿宋" w:eastAsia="仿宋" w:cs="仿宋"/>
                <w:color w:val="000000"/>
                <w:kern w:val="2"/>
                <w:sz w:val="28"/>
                <w:szCs w:val="28"/>
                <w:u w:val="none"/>
                <w:lang w:val="en-US" w:bidi="ar-SA"/>
              </w:rPr>
              <w:t>至少</w:t>
            </w:r>
            <w:r>
              <w:rPr>
                <w:rFonts w:hint="eastAsia" w:ascii="仿宋" w:hAnsi="仿宋" w:eastAsia="仿宋" w:cs="仿宋"/>
                <w:color w:val="000000"/>
                <w:kern w:val="2"/>
                <w:sz w:val="28"/>
                <w:szCs w:val="28"/>
                <w:u w:val="none"/>
                <w:lang w:val="en-US" w:eastAsia="zh-CN" w:bidi="ar-SA"/>
              </w:rPr>
              <w:t>开展1</w:t>
            </w:r>
            <w:r>
              <w:rPr>
                <w:rFonts w:hint="eastAsia" w:ascii="仿宋" w:hAnsi="仿宋" w:eastAsia="仿宋" w:cs="仿宋"/>
                <w:color w:val="000000"/>
                <w:kern w:val="2"/>
                <w:sz w:val="28"/>
                <w:szCs w:val="28"/>
                <w:u w:val="none"/>
                <w:lang w:val="en-US" w:bidi="ar-SA"/>
              </w:rPr>
              <w:t>次</w:t>
            </w:r>
            <w:r>
              <w:rPr>
                <w:rFonts w:hint="eastAsia" w:ascii="仿宋" w:hAnsi="仿宋" w:eastAsia="仿宋" w:cs="仿宋"/>
                <w:color w:val="000000"/>
                <w:kern w:val="2"/>
                <w:sz w:val="28"/>
                <w:szCs w:val="28"/>
                <w:u w:val="none"/>
                <w:lang w:val="en-US" w:eastAsia="zh-CN" w:bidi="ar-SA"/>
              </w:rPr>
              <w:t>综合性应急</w:t>
            </w:r>
            <w:r>
              <w:rPr>
                <w:rFonts w:hint="eastAsia" w:ascii="仿宋" w:hAnsi="仿宋" w:eastAsia="仿宋" w:cs="仿宋"/>
                <w:color w:val="000000"/>
                <w:kern w:val="2"/>
                <w:sz w:val="28"/>
                <w:szCs w:val="28"/>
                <w:u w:val="none"/>
                <w:lang w:val="en-US" w:bidi="ar-SA"/>
              </w:rPr>
              <w:t>演练</w:t>
            </w:r>
            <w:r>
              <w:rPr>
                <w:rFonts w:hint="eastAsia" w:ascii="仿宋" w:hAnsi="仿宋" w:eastAsia="仿宋" w:cs="仿宋"/>
                <w:color w:val="000000"/>
                <w:kern w:val="2"/>
                <w:sz w:val="28"/>
                <w:szCs w:val="28"/>
                <w:u w:val="none"/>
                <w:lang w:val="en-US" w:eastAsia="zh-CN" w:bidi="ar-SA"/>
              </w:rPr>
              <w:t>。各企事业单位都要针对本单位易发灾害事故种类，组织开展疏散逃生和应急救援演练，熟悉应急逃生疏散通道，提升干部职工自救互救能力。</w:t>
            </w:r>
          </w:p>
        </w:tc>
        <w:tc>
          <w:tcPr>
            <w:tcW w:w="2371" w:type="dxa"/>
            <w:noWrap w:val="0"/>
            <w:vAlign w:val="center"/>
          </w:tcPr>
          <w:p w14:paraId="7504B8A8">
            <w:pP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住建局、交通运输局、水利局、应急局、消防救援大队、自然资源局等部门分工负责</w:t>
            </w:r>
          </w:p>
        </w:tc>
      </w:tr>
      <w:tr w14:paraId="1A09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62" w:type="dxa"/>
            <w:noWrap w:val="0"/>
            <w:vAlign w:val="center"/>
          </w:tcPr>
          <w:p w14:paraId="5D49C937">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w:t>
            </w:r>
          </w:p>
        </w:tc>
        <w:tc>
          <w:tcPr>
            <w:tcW w:w="1902" w:type="dxa"/>
            <w:noWrap w:val="0"/>
            <w:vAlign w:val="center"/>
          </w:tcPr>
          <w:p w14:paraId="75924093">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开展技能</w:t>
            </w:r>
          </w:p>
          <w:p w14:paraId="4550793C">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竞赛</w:t>
            </w:r>
          </w:p>
        </w:tc>
        <w:tc>
          <w:tcPr>
            <w:tcW w:w="8225" w:type="dxa"/>
            <w:noWrap w:val="0"/>
            <w:vAlign w:val="center"/>
          </w:tcPr>
          <w:p w14:paraId="4DC51F75">
            <w:pPr>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编制企业从业人员主要工种考试题库。加强全员分工种、分岗位针对性培训，严格“三项岗位人员”考核，</w:t>
            </w:r>
            <w:r>
              <w:rPr>
                <w:rFonts w:hint="eastAsia" w:ascii="仿宋" w:hAnsi="仿宋" w:eastAsia="仿宋" w:cs="仿宋"/>
                <w:color w:val="000000"/>
                <w:kern w:val="2"/>
                <w:sz w:val="28"/>
                <w:szCs w:val="28"/>
                <w:u w:val="none"/>
                <w:lang w:val="en-US" w:bidi="ar-SA"/>
              </w:rPr>
              <w:t>从业人员未经培训</w:t>
            </w:r>
            <w:r>
              <w:rPr>
                <w:rFonts w:hint="eastAsia" w:ascii="仿宋" w:hAnsi="仿宋" w:eastAsia="仿宋" w:cs="仿宋"/>
                <w:color w:val="000000"/>
                <w:kern w:val="2"/>
                <w:sz w:val="28"/>
                <w:szCs w:val="28"/>
                <w:u w:val="none"/>
                <w:lang w:val="en-US" w:eastAsia="zh-CN" w:bidi="ar-SA"/>
              </w:rPr>
              <w:t>合格</w:t>
            </w:r>
            <w:r>
              <w:rPr>
                <w:rFonts w:hint="eastAsia" w:ascii="仿宋" w:hAnsi="仿宋" w:eastAsia="仿宋" w:cs="仿宋"/>
                <w:color w:val="000000"/>
                <w:kern w:val="2"/>
                <w:sz w:val="28"/>
                <w:szCs w:val="28"/>
                <w:u w:val="none"/>
                <w:lang w:val="en-US" w:bidi="ar-SA"/>
              </w:rPr>
              <w:t>不得上岗</w:t>
            </w:r>
            <w:r>
              <w:rPr>
                <w:rFonts w:hint="eastAsia" w:ascii="仿宋" w:hAnsi="仿宋" w:eastAsia="仿宋" w:cs="仿宋"/>
                <w:color w:val="000000"/>
                <w:kern w:val="2"/>
                <w:sz w:val="28"/>
                <w:szCs w:val="28"/>
                <w:u w:val="none"/>
                <w:lang w:val="en-US" w:eastAsia="zh-CN" w:bidi="ar-SA"/>
              </w:rPr>
              <w:t>。构建“工会＋行业”协同模式，分行业推动安康杯知识竞赛、职工技能比武、控风险除隐患标兵选树等工作，营造崇尚专业，崇尚安全的良好风气。</w:t>
            </w:r>
          </w:p>
        </w:tc>
        <w:tc>
          <w:tcPr>
            <w:tcW w:w="2371" w:type="dxa"/>
            <w:noWrap w:val="0"/>
            <w:vAlign w:val="center"/>
          </w:tcPr>
          <w:p w14:paraId="691CDB96">
            <w:pPr>
              <w:jc w:val="cente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安委会有关成员单位负责</w:t>
            </w:r>
          </w:p>
        </w:tc>
      </w:tr>
      <w:tr w14:paraId="2E3B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62" w:type="dxa"/>
            <w:noWrap w:val="0"/>
            <w:vAlign w:val="center"/>
          </w:tcPr>
          <w:p w14:paraId="707F93B9">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w:t>
            </w:r>
          </w:p>
        </w:tc>
        <w:tc>
          <w:tcPr>
            <w:tcW w:w="1902" w:type="dxa"/>
            <w:noWrap w:val="0"/>
            <w:vAlign w:val="center"/>
          </w:tcPr>
          <w:p w14:paraId="3596FC48">
            <w:pPr>
              <w:jc w:val="center"/>
              <w:rPr>
                <w:rStyle w:val="48"/>
                <w:rFonts w:hint="eastAsia" w:ascii="仿宋" w:hAnsi="仿宋" w:eastAsia="仿宋" w:cs="仿宋"/>
                <w:b/>
                <w:bCs/>
                <w:color w:val="000000"/>
                <w:kern w:val="2"/>
                <w:sz w:val="28"/>
                <w:szCs w:val="28"/>
                <w:u w:val="none"/>
                <w:lang w:val="en-US" w:eastAsia="zh-CN" w:bidi="ar-SA"/>
              </w:rPr>
            </w:pPr>
            <w:r>
              <w:rPr>
                <w:rStyle w:val="48"/>
                <w:rFonts w:hint="eastAsia" w:ascii="仿宋" w:hAnsi="仿宋" w:eastAsia="仿宋" w:cs="仿宋"/>
                <w:b/>
                <w:bCs/>
                <w:color w:val="000000"/>
                <w:kern w:val="2"/>
                <w:sz w:val="28"/>
                <w:szCs w:val="28"/>
                <w:u w:val="none"/>
                <w:lang w:val="en-US" w:eastAsia="zh-CN" w:bidi="ar-SA"/>
              </w:rPr>
              <w:t>开展执法</w:t>
            </w:r>
          </w:p>
          <w:p w14:paraId="3D4E4C4B">
            <w:pPr>
              <w:jc w:val="center"/>
              <w:rPr>
                <w:rFonts w:hint="eastAsia" w:ascii="仿宋" w:hAnsi="仿宋" w:eastAsia="仿宋" w:cs="仿宋"/>
                <w:sz w:val="28"/>
                <w:szCs w:val="28"/>
                <w:vertAlign w:val="baseline"/>
                <w:lang w:val="en-US" w:eastAsia="zh-CN"/>
              </w:rPr>
            </w:pPr>
            <w:r>
              <w:rPr>
                <w:rStyle w:val="48"/>
                <w:rFonts w:hint="eastAsia" w:ascii="仿宋" w:hAnsi="仿宋" w:eastAsia="仿宋" w:cs="仿宋"/>
                <w:b/>
                <w:bCs/>
                <w:color w:val="000000"/>
                <w:kern w:val="2"/>
                <w:sz w:val="28"/>
                <w:szCs w:val="28"/>
                <w:u w:val="none"/>
                <w:lang w:val="en-US" w:eastAsia="zh-CN" w:bidi="ar-SA"/>
              </w:rPr>
              <w:t>比武</w:t>
            </w:r>
          </w:p>
        </w:tc>
        <w:tc>
          <w:tcPr>
            <w:tcW w:w="8225" w:type="dxa"/>
            <w:noWrap w:val="0"/>
            <w:vAlign w:val="center"/>
          </w:tcPr>
          <w:p w14:paraId="0D5F445B">
            <w:pPr>
              <w:pStyle w:val="6"/>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color w:val="000000"/>
                <w:kern w:val="2"/>
                <w:sz w:val="28"/>
                <w:szCs w:val="28"/>
                <w:u w:val="none"/>
                <w:lang w:val="en-US" w:eastAsia="zh-CN" w:bidi="ar-SA"/>
              </w:rPr>
              <w:t>对标对表先进地区经验做法，采取“走出去看、进校园学、请进来教”等方式，加强干部队伍能力素质建设。以“岗位大练兵、业务大比武”为抓手，综合运用“理论+实操”“严培+严考”“线上+线下”等方式，结合行业领域实际开展负有安全生产监管职责人员执法比武和实战大练兵，应用</w:t>
            </w:r>
            <w:r>
              <w:rPr>
                <w:rFonts w:hint="eastAsia" w:ascii="仿宋" w:hAnsi="仿宋" w:eastAsia="仿宋" w:cs="仿宋"/>
                <w:color w:val="000000"/>
                <w:kern w:val="2"/>
                <w:sz w:val="28"/>
                <w:szCs w:val="28"/>
                <w:u w:val="none"/>
                <w:lang w:val="en-US" w:bidi="ar-SA"/>
              </w:rPr>
              <w:t>“互联网＋执法”系统</w:t>
            </w:r>
            <w:r>
              <w:rPr>
                <w:rFonts w:hint="eastAsia" w:ascii="仿宋" w:hAnsi="仿宋" w:eastAsia="仿宋" w:cs="仿宋"/>
                <w:color w:val="000000"/>
                <w:kern w:val="2"/>
                <w:sz w:val="28"/>
                <w:szCs w:val="28"/>
                <w:u w:val="none"/>
                <w:lang w:val="en-US" w:eastAsia="zh-CN" w:bidi="ar-SA"/>
              </w:rPr>
              <w:t>等</w:t>
            </w:r>
            <w:r>
              <w:rPr>
                <w:rFonts w:hint="eastAsia" w:ascii="仿宋" w:hAnsi="仿宋" w:eastAsia="仿宋" w:cs="仿宋"/>
                <w:color w:val="000000"/>
                <w:kern w:val="2"/>
                <w:sz w:val="28"/>
                <w:szCs w:val="28"/>
                <w:u w:val="none"/>
                <w:lang w:val="en-US" w:bidi="ar-SA"/>
              </w:rPr>
              <w:t>开展案卷评查，</w:t>
            </w:r>
            <w:r>
              <w:rPr>
                <w:rFonts w:hint="eastAsia" w:ascii="仿宋" w:hAnsi="仿宋" w:eastAsia="仿宋" w:cs="仿宋"/>
                <w:color w:val="000000"/>
                <w:kern w:val="2"/>
                <w:sz w:val="28"/>
                <w:szCs w:val="28"/>
                <w:u w:val="none"/>
                <w:lang w:val="en-US" w:eastAsia="zh-CN" w:bidi="ar-SA"/>
              </w:rPr>
              <w:t>不断推动队伍素质与能力的全面提升。</w:t>
            </w:r>
          </w:p>
        </w:tc>
        <w:tc>
          <w:tcPr>
            <w:tcW w:w="2371" w:type="dxa"/>
            <w:noWrap w:val="0"/>
            <w:vAlign w:val="center"/>
          </w:tcPr>
          <w:p w14:paraId="0FDFA522">
            <w:pPr>
              <w:jc w:val="center"/>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eastAsia="zh-CN"/>
              </w:rPr>
              <w:t>各乡镇（街道），</w:t>
            </w:r>
            <w:r>
              <w:rPr>
                <w:rFonts w:hint="eastAsia" w:ascii="仿宋" w:hAnsi="仿宋" w:eastAsia="仿宋" w:cs="仿宋"/>
                <w:color w:val="000000"/>
                <w:kern w:val="2"/>
                <w:sz w:val="28"/>
                <w:szCs w:val="28"/>
                <w:u w:val="none"/>
                <w:lang w:val="en-US" w:eastAsia="zh-CN" w:bidi="ar-SA"/>
              </w:rPr>
              <w:t>安委会有关成员单位负责</w:t>
            </w:r>
          </w:p>
        </w:tc>
      </w:tr>
    </w:tbl>
    <w:p w14:paraId="79BF768E">
      <w:pPr>
        <w:pStyle w:val="6"/>
        <w:ind w:left="0" w:leftChars="0" w:firstLine="0" w:firstLineChars="0"/>
        <w:rPr>
          <w:rFonts w:hint="eastAsia"/>
        </w:rPr>
      </w:pPr>
    </w:p>
    <w:p w14:paraId="5BE3BF4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311BC84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3D7CDD0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sectPr>
          <w:pgSz w:w="16838" w:h="11906" w:orient="landscape"/>
          <w:pgMar w:top="1531" w:right="1797" w:bottom="1531" w:left="1797" w:header="851" w:footer="992" w:gutter="0"/>
          <w:pgNumType w:fmt="numberInDash" w:start="1"/>
          <w:cols w:space="720" w:num="1"/>
          <w:rtlGutter w:val="0"/>
          <w:docGrid w:type="lines" w:linePitch="315" w:charSpace="0"/>
        </w:sectPr>
      </w:pPr>
    </w:p>
    <w:p w14:paraId="0BBC1F94">
      <w:pPr>
        <w:pStyle w:val="6"/>
        <w:rPr>
          <w:rFonts w:hint="eastAsia"/>
        </w:rPr>
      </w:pPr>
    </w:p>
    <w:p w14:paraId="1ADFD88A">
      <w:pPr>
        <w:rPr>
          <w:rFonts w:hint="eastAsia"/>
        </w:rPr>
      </w:pPr>
    </w:p>
    <w:p w14:paraId="4B6FE47C">
      <w:pPr>
        <w:pStyle w:val="6"/>
        <w:rPr>
          <w:rFonts w:hint="eastAsia"/>
        </w:rPr>
      </w:pPr>
    </w:p>
    <w:p w14:paraId="75640283">
      <w:pPr>
        <w:rPr>
          <w:rFonts w:hint="eastAsia"/>
        </w:rPr>
      </w:pPr>
    </w:p>
    <w:p w14:paraId="27C0BABB">
      <w:pPr>
        <w:pStyle w:val="6"/>
        <w:rPr>
          <w:rFonts w:hint="eastAsia"/>
        </w:rPr>
      </w:pPr>
    </w:p>
    <w:p w14:paraId="72E1B69E">
      <w:pPr>
        <w:rPr>
          <w:rFonts w:hint="eastAsia"/>
        </w:rPr>
      </w:pPr>
    </w:p>
    <w:p w14:paraId="0A16520F">
      <w:pPr>
        <w:pStyle w:val="6"/>
        <w:rPr>
          <w:rFonts w:hint="eastAsia"/>
        </w:rPr>
      </w:pPr>
    </w:p>
    <w:p w14:paraId="2FC1860F">
      <w:pPr>
        <w:rPr>
          <w:rFonts w:hint="eastAsia"/>
        </w:rPr>
      </w:pPr>
    </w:p>
    <w:p w14:paraId="4987F70B">
      <w:pPr>
        <w:pStyle w:val="6"/>
        <w:rPr>
          <w:rFonts w:hint="eastAsia"/>
        </w:rPr>
      </w:pPr>
    </w:p>
    <w:p w14:paraId="03055339">
      <w:pPr>
        <w:rPr>
          <w:rFonts w:hint="eastAsia"/>
        </w:rPr>
      </w:pPr>
    </w:p>
    <w:p w14:paraId="429FDBB7">
      <w:pPr>
        <w:pStyle w:val="6"/>
        <w:rPr>
          <w:rFonts w:hint="eastAsia"/>
        </w:rPr>
      </w:pPr>
    </w:p>
    <w:p w14:paraId="673ACF96">
      <w:pPr>
        <w:rPr>
          <w:rFonts w:hint="eastAsia"/>
        </w:rPr>
      </w:pPr>
    </w:p>
    <w:p w14:paraId="72FFC950">
      <w:pPr>
        <w:pStyle w:val="6"/>
        <w:rPr>
          <w:rFonts w:hint="eastAsia"/>
        </w:rPr>
      </w:pPr>
    </w:p>
    <w:p w14:paraId="0D525C76">
      <w:pPr>
        <w:rPr>
          <w:rFonts w:hint="eastAsia"/>
        </w:rPr>
      </w:pPr>
    </w:p>
    <w:p w14:paraId="0EF53E3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0AE0C60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19B61F0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16C9260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22FCF43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3CA09D7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388A9DB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6733678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5CC8E9B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57C10331">
      <w:pPr>
        <w:pStyle w:val="6"/>
        <w:rPr>
          <w:rFonts w:hint="eastAsia"/>
        </w:rPr>
      </w:pPr>
    </w:p>
    <w:p w14:paraId="5EBB66F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7B3431DB">
      <w:pPr>
        <w:pStyle w:val="6"/>
        <w:rPr>
          <w:rFonts w:hint="eastAsia"/>
        </w:rPr>
      </w:pPr>
    </w:p>
    <w:p w14:paraId="3460E40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olor w:val="auto"/>
          <w:sz w:val="28"/>
          <w:szCs w:val="28"/>
          <w:u w:val="none" w:color="auto"/>
        </w:rPr>
      </w:pPr>
      <w:r>
        <w:rPr>
          <w:rFonts w:hint="eastAsia" w:ascii="仿宋_GB2312" w:hAnsi="仿宋_GB2312" w:eastAsia="仿宋_GB2312" w:cs="仿宋_GB2312"/>
          <w:color w:val="auto"/>
          <w:sz w:val="28"/>
          <w:szCs w:val="28"/>
        </w:rPr>
        <w:t>（此件</w:t>
      </w:r>
      <w:r>
        <w:rPr>
          <w:rFonts w:hint="eastAsia" w:ascii="仿宋_GB2312" w:hAnsi="仿宋_GB2312" w:eastAsia="仿宋_GB2312" w:cs="仿宋_GB2312"/>
          <w:color w:val="auto"/>
          <w:sz w:val="28"/>
          <w:szCs w:val="28"/>
          <w:lang w:val="en-US" w:eastAsia="zh-CN"/>
        </w:rPr>
        <w:t>公开发布</w:t>
      </w:r>
      <w:r>
        <w:rPr>
          <w:rFonts w:hint="eastAsia" w:ascii="仿宋_GB2312" w:hAnsi="仿宋_GB2312" w:eastAsia="仿宋_GB2312" w:cs="仿宋_GB2312"/>
          <w:color w:val="auto"/>
          <w:sz w:val="28"/>
          <w:szCs w:val="28"/>
        </w:rPr>
        <w:t>）</w:t>
      </w:r>
    </w:p>
    <w:p w14:paraId="63D36A2B">
      <w:pPr>
        <w:keepNext w:val="0"/>
        <w:keepLines w:val="0"/>
        <w:pageBreakBefore w:val="0"/>
        <w:widowControl w:val="0"/>
        <w:tabs>
          <w:tab w:val="left" w:pos="632"/>
          <w:tab w:val="left" w:pos="2686"/>
          <w:tab w:val="left" w:pos="7584"/>
          <w:tab w:val="left" w:pos="7742"/>
          <w:tab w:val="left" w:pos="8532"/>
        </w:tabs>
        <w:kinsoku/>
        <w:wordWrap/>
        <w:overflowPunct/>
        <w:topLinePunct w:val="0"/>
        <w:autoSpaceDE/>
        <w:autoSpaceDN/>
        <w:bidi w:val="0"/>
        <w:adjustRightInd/>
        <w:snapToGrid/>
        <w:spacing w:line="400" w:lineRule="exact"/>
        <w:ind w:left="840" w:hanging="840" w:hangingChars="300"/>
        <w:textAlignment w:val="auto"/>
        <w:rPr>
          <w:rFonts w:hint="eastAsia" w:ascii="仿宋_GB2312" w:hAnsi="仿宋_GB2312" w:eastAsia="仿宋_GB2312" w:cs="仿宋_GB2312"/>
          <w:i w:val="0"/>
          <w:color w:val="auto"/>
          <w:sz w:val="28"/>
          <w:szCs w:val="28"/>
          <w:u w:val="none"/>
          <w:lang w:val="en-US" w:eastAsia="zh-CN"/>
        </w:rPr>
      </w:pPr>
      <w:r>
        <w:rPr>
          <w:rFonts w:ascii="仿宋_GB2312" w:eastAsia="仿宋_GB2312"/>
          <w:i/>
          <w:iCs/>
          <w:color w:val="auto"/>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0</wp:posOffset>
                </wp:positionV>
                <wp:extent cx="576008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5pt;margin-top:0pt;height:0pt;width:453.55pt;z-index:251661312;mso-width-relative:page;mso-height-relative:page;" filled="f" stroked="t" coordsize="21600,21600" o:gfxdata="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zW051QAAAAUBAAAPAAAAAAAAAAEAIAAAACIAAABkcnMvZG93bnJldi54bWxQ&#10;SwECFAAUAAAACACHTuJAxkK5OfoBAAD1AwAADgAAAAAAAAABACAAAAAk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cs="仿宋_GB2312"/>
          <w:i w:val="0"/>
          <w:color w:val="auto"/>
          <w:sz w:val="28"/>
          <w:szCs w:val="28"/>
          <w:u w:val="none"/>
        </w:rPr>
        <w:t>抄送：</w:t>
      </w:r>
      <w:r>
        <w:rPr>
          <w:rFonts w:hint="eastAsia" w:ascii="仿宋_GB2312" w:hAnsi="仿宋_GB2312" w:eastAsia="仿宋_GB2312" w:cs="仿宋_GB2312"/>
          <w:i w:val="0"/>
          <w:color w:val="auto"/>
          <w:sz w:val="28"/>
          <w:szCs w:val="28"/>
          <w:u w:val="none"/>
          <w:lang w:eastAsia="zh-CN"/>
        </w:rPr>
        <w:t>区</w:t>
      </w:r>
      <w:r>
        <w:rPr>
          <w:rFonts w:hint="eastAsia" w:ascii="仿宋_GB2312" w:hAnsi="仿宋_GB2312" w:eastAsia="仿宋_GB2312" w:cs="仿宋_GB2312"/>
          <w:i w:val="0"/>
          <w:color w:val="auto"/>
          <w:sz w:val="28"/>
          <w:szCs w:val="28"/>
          <w:u w:val="none"/>
          <w:lang w:val="en-US" w:eastAsia="zh-CN"/>
        </w:rPr>
        <w:t>委各部门，区人大常委会办公室，区政协办公室，区纪委监委，区法院，区检察院，各人民团体，各新闻单位。</w:t>
      </w:r>
    </w:p>
    <w:p w14:paraId="2CE726B1">
      <w:pPr>
        <w:keepNext w:val="0"/>
        <w:keepLines w:val="0"/>
        <w:pageBreakBefore w:val="0"/>
        <w:widowControl w:val="0"/>
        <w:tabs>
          <w:tab w:val="left" w:pos="632"/>
          <w:tab w:val="left" w:pos="2686"/>
          <w:tab w:val="left" w:pos="7584"/>
          <w:tab w:val="left" w:pos="7742"/>
          <w:tab w:val="left" w:pos="8532"/>
        </w:tabs>
        <w:kinsoku/>
        <w:wordWrap/>
        <w:overflowPunct/>
        <w:topLinePunct w:val="0"/>
        <w:autoSpaceDE/>
        <w:autoSpaceDN/>
        <w:bidi w:val="0"/>
        <w:adjustRightInd/>
        <w:snapToGrid/>
        <w:spacing w:line="400" w:lineRule="exact"/>
        <w:ind w:left="838" w:leftChars="399" w:firstLine="0" w:firstLineChars="0"/>
        <w:textAlignment w:val="auto"/>
        <w:rPr>
          <w:rFonts w:hint="default" w:ascii="仿宋_GB2312" w:hAnsi="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各民主党派。</w:t>
      </w:r>
    </w:p>
    <w:p w14:paraId="2E309DD4">
      <w:pPr>
        <w:keepNext w:val="0"/>
        <w:keepLines w:val="0"/>
        <w:pageBreakBefore w:val="0"/>
        <w:tabs>
          <w:tab w:val="left" w:pos="632"/>
          <w:tab w:val="left" w:pos="2686"/>
          <w:tab w:val="left" w:pos="7584"/>
          <w:tab w:val="left" w:pos="7742"/>
          <w:tab w:val="left" w:pos="8532"/>
        </w:tabs>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仿宋_GB2312" w:hAnsi="仿宋_GB2312" w:eastAsia="仿宋_GB2312" w:cs="仿宋_GB2312"/>
          <w:b/>
          <w:i/>
          <w:color w:val="auto"/>
          <w:sz w:val="28"/>
          <w:szCs w:val="28"/>
          <w:u w:val="single" w:color="auto"/>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50165</wp:posOffset>
                </wp:positionV>
                <wp:extent cx="5760085"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5pt;margin-top:3.95pt;height:0pt;width:453.55pt;z-index:251660288;mso-width-relative:page;mso-height-relative:page;" filled="f" stroked="t" coordsize="21600,21600" o:gfxdata="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NeJBPWAAAABwEAAA8AAAAAAAAAAQAgAAAAIgAAAGRycy9kb3ducmV2Lnht&#10;bFBLAQIUABQAAAAIAIdO4kBZYPBI+wEAAPMDAAAOAAAAAAAAAAEAIAAAACUBAABkcnMvZTJvRG9j&#10;LnhtbFBLBQYAAAAABgAGAFkBAACSBQAAAAA=&#10;">
                <v:fill on="f" focussize="0,0"/>
                <v:stroke weight="1pt" color="#000000" joinstyle="round"/>
                <v:imagedata o:title=""/>
                <o:lock v:ext="edit" aspectratio="f"/>
              </v:line>
            </w:pict>
          </mc:Fallback>
        </mc:AlternateContent>
      </w:r>
      <w:r>
        <w:rPr>
          <w:rFonts w:hint="eastAsia" w:ascii="仿宋_GB2312" w:hAnsi="仿宋_GB2312" w:eastAsia="仿宋_GB2312" w:cs="仿宋_GB2312"/>
          <w:i/>
          <w:iCs/>
          <w:color w:val="auto"/>
          <w:sz w:val="28"/>
          <w:szCs w:val="28"/>
          <w:u w:val="none"/>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420370</wp:posOffset>
                </wp:positionV>
                <wp:extent cx="5760085" cy="0"/>
                <wp:effectExtent l="0" t="6350" r="0" b="6350"/>
                <wp:wrapNone/>
                <wp:docPr id="9" name="直接连接符 9"/>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7pt;margin-top:33.1pt;height:0pt;width:453.55pt;z-index:251659264;mso-width-relative:page;mso-height-relative:page;" filled="f" stroked="t" coordsize="21600,21600" o:gfxdata="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RW5J2AAAAAkBAAAPAAAAAAAAAAEAIAAAACIAAABkcnMvZG93bnJldi54&#10;bWxQSwECFAAUAAAACACHTuJAFE07DvoBAADzAwAADgAAAAAAAAABACAAAAAnAQAAZHJzL2Uyb0Rv&#10;Yy54bWxQSwUGAAAAAAYABgBZAQAAkwUAAAAA&#10;">
                <v:fill on="f" focussize="0,0"/>
                <v:stroke weight="1pt" color="#000000" joinstyle="round"/>
                <v:imagedata o:title=""/>
                <o:lock v:ext="edit" aspectratio="f"/>
              </v:line>
            </w:pict>
          </mc:Fallback>
        </mc:AlternateContent>
      </w:r>
      <w:r>
        <w:rPr>
          <w:rFonts w:hint="eastAsia" w:ascii="仿宋_GB2312" w:hAnsi="仿宋_GB2312" w:eastAsia="仿宋_GB2312" w:cs="仿宋_GB2312"/>
          <w:i w:val="0"/>
          <w:iCs/>
          <w:color w:val="auto"/>
          <w:sz w:val="28"/>
          <w:szCs w:val="28"/>
          <w:u w:val="none"/>
        </w:rPr>
        <w:t>长治市</w:t>
      </w:r>
      <w:r>
        <w:rPr>
          <w:rFonts w:hint="eastAsia" w:ascii="仿宋_GB2312" w:hAnsi="仿宋_GB2312" w:eastAsia="仿宋_GB2312" w:cs="仿宋_GB2312"/>
          <w:i w:val="0"/>
          <w:iCs/>
          <w:color w:val="auto"/>
          <w:sz w:val="28"/>
          <w:szCs w:val="28"/>
          <w:u w:val="none"/>
          <w:lang w:eastAsia="zh-CN"/>
        </w:rPr>
        <w:t>上党区</w:t>
      </w:r>
      <w:r>
        <w:rPr>
          <w:rFonts w:hint="eastAsia" w:ascii="仿宋_GB2312" w:hAnsi="仿宋_GB2312" w:eastAsia="仿宋_GB2312" w:cs="仿宋_GB2312"/>
          <w:i w:val="0"/>
          <w:iCs/>
          <w:color w:val="auto"/>
          <w:sz w:val="28"/>
          <w:szCs w:val="28"/>
          <w:u w:val="none"/>
          <w:lang w:val="en-US" w:eastAsia="zh-CN"/>
        </w:rPr>
        <w:t>人民政府</w:t>
      </w:r>
      <w:r>
        <w:rPr>
          <w:rFonts w:hint="eastAsia" w:ascii="仿宋_GB2312" w:hAnsi="仿宋_GB2312" w:eastAsia="仿宋_GB2312" w:cs="仿宋_GB2312"/>
          <w:i w:val="0"/>
          <w:color w:val="auto"/>
          <w:sz w:val="28"/>
          <w:szCs w:val="28"/>
          <w:u w:val="none"/>
        </w:rPr>
        <w:t xml:space="preserve">      </w:t>
      </w:r>
      <w:r>
        <w:rPr>
          <w:rFonts w:hint="eastAsia" w:ascii="仿宋_GB2312" w:hAnsi="仿宋_GB2312" w:cs="仿宋_GB2312"/>
          <w:i w:val="0"/>
          <w:color w:val="auto"/>
          <w:sz w:val="28"/>
          <w:szCs w:val="28"/>
          <w:u w:val="none"/>
          <w:lang w:val="en-US" w:eastAsia="zh-CN"/>
        </w:rPr>
        <w:t xml:space="preserve">   </w:t>
      </w:r>
      <w:r>
        <w:rPr>
          <w:rFonts w:hint="eastAsia" w:ascii="仿宋_GB2312" w:hAnsi="仿宋_GB2312" w:eastAsia="仿宋_GB2312" w:cs="仿宋_GB2312"/>
          <w:i w:val="0"/>
          <w:color w:val="auto"/>
          <w:sz w:val="28"/>
          <w:szCs w:val="28"/>
          <w:u w:val="none"/>
        </w:rPr>
        <w:t xml:space="preserve">  </w:t>
      </w:r>
      <w:r>
        <w:rPr>
          <w:rFonts w:hint="eastAsia" w:ascii="仿宋_GB2312" w:hAnsi="仿宋_GB2312" w:cs="仿宋_GB2312"/>
          <w:i w:val="0"/>
          <w:color w:val="auto"/>
          <w:sz w:val="28"/>
          <w:szCs w:val="28"/>
          <w:u w:val="none"/>
          <w:lang w:val="en-US" w:eastAsia="zh-CN"/>
        </w:rPr>
        <w:t xml:space="preserve">          </w:t>
      </w:r>
      <w:r>
        <w:rPr>
          <w:rFonts w:hint="eastAsia" w:ascii="仿宋_GB2312" w:hAnsi="仿宋_GB2312" w:eastAsia="仿宋_GB2312" w:cs="仿宋_GB2312"/>
          <w:i w:val="0"/>
          <w:color w:val="auto"/>
          <w:sz w:val="28"/>
          <w:szCs w:val="28"/>
          <w:u w:val="none"/>
        </w:rPr>
        <w:t xml:space="preserve"> 202</w:t>
      </w:r>
      <w:r>
        <w:rPr>
          <w:rFonts w:hint="eastAsia" w:ascii="仿宋_GB2312" w:hAnsi="仿宋_GB2312" w:eastAsia="仿宋_GB2312" w:cs="仿宋_GB2312"/>
          <w:i w:val="0"/>
          <w:color w:val="auto"/>
          <w:sz w:val="28"/>
          <w:szCs w:val="28"/>
          <w:u w:val="none"/>
          <w:lang w:val="en-US" w:eastAsia="zh-CN"/>
        </w:rPr>
        <w:t>5</w:t>
      </w:r>
      <w:r>
        <w:rPr>
          <w:rFonts w:hint="eastAsia" w:ascii="仿宋_GB2312" w:hAnsi="仿宋_GB2312" w:eastAsia="仿宋_GB2312" w:cs="仿宋_GB2312"/>
          <w:i w:val="0"/>
          <w:color w:val="auto"/>
          <w:sz w:val="28"/>
          <w:szCs w:val="28"/>
          <w:u w:val="none"/>
        </w:rPr>
        <w:t>年</w:t>
      </w:r>
      <w:r>
        <w:rPr>
          <w:rFonts w:hint="eastAsia" w:ascii="仿宋_GB2312" w:hAnsi="仿宋_GB2312" w:eastAsia="仿宋_GB2312" w:cs="仿宋_GB2312"/>
          <w:i w:val="0"/>
          <w:color w:val="auto"/>
          <w:sz w:val="28"/>
          <w:szCs w:val="28"/>
          <w:u w:val="none"/>
          <w:lang w:val="en-US" w:eastAsia="zh-CN"/>
        </w:rPr>
        <w:t xml:space="preserve">  </w:t>
      </w:r>
      <w:r>
        <w:rPr>
          <w:rFonts w:hint="eastAsia" w:ascii="仿宋_GB2312" w:hAnsi="仿宋_GB2312" w:eastAsia="仿宋_GB2312" w:cs="仿宋_GB2312"/>
          <w:i w:val="0"/>
          <w:color w:val="auto"/>
          <w:sz w:val="28"/>
          <w:szCs w:val="28"/>
          <w:u w:val="none"/>
        </w:rPr>
        <w:t>月</w:t>
      </w:r>
      <w:r>
        <w:rPr>
          <w:rFonts w:hint="eastAsia" w:ascii="仿宋_GB2312" w:hAnsi="仿宋_GB2312" w:cs="仿宋_GB2312"/>
          <w:i w:val="0"/>
          <w:color w:val="auto"/>
          <w:sz w:val="28"/>
          <w:szCs w:val="28"/>
          <w:u w:val="none"/>
          <w:lang w:val="en-US" w:eastAsia="zh-CN"/>
        </w:rPr>
        <w:t xml:space="preserve">  </w:t>
      </w:r>
      <w:r>
        <w:rPr>
          <w:rFonts w:hint="eastAsia" w:ascii="仿宋_GB2312" w:hAnsi="仿宋_GB2312" w:eastAsia="仿宋_GB2312" w:cs="仿宋_GB2312"/>
          <w:i w:val="0"/>
          <w:color w:val="auto"/>
          <w:sz w:val="28"/>
          <w:szCs w:val="28"/>
          <w:u w:val="none"/>
        </w:rPr>
        <w:t>日印发</w:t>
      </w:r>
    </w:p>
    <w:sectPr>
      <w:pgSz w:w="11906" w:h="16838"/>
      <w:pgMar w:top="1797" w:right="1531" w:bottom="1797" w:left="1531" w:header="851" w:footer="992" w:gutter="0"/>
      <w:pgNumType w:fmt="numberInDash" w:start="1"/>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C62AA8-FBB4-4EFA-871C-719CEC68EC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950795D-44FE-4C6C-B7D7-1069ED0A30C1}"/>
  </w:font>
  <w:font w:name="仿宋_GB2312">
    <w:panose1 w:val="02010609030101010101"/>
    <w:charset w:val="86"/>
    <w:family w:val="auto"/>
    <w:pitch w:val="default"/>
    <w:sig w:usb0="00000001" w:usb1="080E0000" w:usb2="00000000" w:usb3="00000000" w:csb0="00040000" w:csb1="00000000"/>
    <w:embedRegular r:id="rId3" w:fontKey="{CDC28DA4-FDE7-4141-8973-5EC677365A2D}"/>
  </w:font>
  <w:font w:name="方正小标宋简体">
    <w:panose1 w:val="03000509000000000000"/>
    <w:charset w:val="86"/>
    <w:family w:val="auto"/>
    <w:pitch w:val="default"/>
    <w:sig w:usb0="00000001" w:usb1="080E0000" w:usb2="00000000" w:usb3="00000000" w:csb0="00040000" w:csb1="00000000"/>
    <w:embedRegular r:id="rId4" w:fontKey="{F4049BF8-A8E1-437A-80ED-A53AA65D0151}"/>
  </w:font>
  <w:font w:name="楷体_GB2312">
    <w:altName w:val="楷体"/>
    <w:panose1 w:val="02010609030101010101"/>
    <w:charset w:val="86"/>
    <w:family w:val="auto"/>
    <w:pitch w:val="default"/>
    <w:sig w:usb0="00000000" w:usb1="00000000" w:usb2="00000000" w:usb3="00000000" w:csb0="00040000" w:csb1="00000000"/>
    <w:embedRegular r:id="rId5" w:fontKey="{AC6A43B0-500D-4786-80FB-E11CE362127D}"/>
  </w:font>
  <w:font w:name="楷体">
    <w:panose1 w:val="02010609060101010101"/>
    <w:charset w:val="86"/>
    <w:family w:val="auto"/>
    <w:pitch w:val="default"/>
    <w:sig w:usb0="800002BF" w:usb1="38CF7CFA" w:usb2="00000016" w:usb3="00000000" w:csb0="00040001" w:csb1="00000000"/>
    <w:embedRegular r:id="rId6" w:fontKey="{CA3E7569-138F-4EAE-8DAA-6B927F90A5E5}"/>
  </w:font>
  <w:font w:name="华文楷体">
    <w:panose1 w:val="02010600040101010101"/>
    <w:charset w:val="86"/>
    <w:family w:val="auto"/>
    <w:pitch w:val="default"/>
    <w:sig w:usb0="00000287" w:usb1="080F0000" w:usb2="00000000" w:usb3="00000000" w:csb0="0004009F" w:csb1="DFD70000"/>
    <w:embedRegular r:id="rId7" w:fontKey="{B0615D00-6B28-47E7-8288-1EC92B30D6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541E">
    <w:pPr>
      <w:pStyle w:val="12"/>
      <w:jc w:val="center"/>
    </w:pPr>
  </w:p>
  <w:p w14:paraId="6A930C2F">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UzNzQzMjBmYWViN2IzNjRkOTE5MGZiOGVkYzEifQ=="/>
  </w:docVars>
  <w:rsids>
    <w:rsidRoot w:val="00000000"/>
    <w:rsid w:val="00A65FA9"/>
    <w:rsid w:val="00E862B6"/>
    <w:rsid w:val="01233A9E"/>
    <w:rsid w:val="016E59F3"/>
    <w:rsid w:val="0183728A"/>
    <w:rsid w:val="02160F0D"/>
    <w:rsid w:val="02A36C44"/>
    <w:rsid w:val="03084CFA"/>
    <w:rsid w:val="03163E1D"/>
    <w:rsid w:val="0334789D"/>
    <w:rsid w:val="033F1C52"/>
    <w:rsid w:val="039A7BD3"/>
    <w:rsid w:val="03AA4003"/>
    <w:rsid w:val="03E61657"/>
    <w:rsid w:val="04844854"/>
    <w:rsid w:val="04934A97"/>
    <w:rsid w:val="057743B8"/>
    <w:rsid w:val="059611F2"/>
    <w:rsid w:val="06471FDD"/>
    <w:rsid w:val="06862B05"/>
    <w:rsid w:val="06A92350"/>
    <w:rsid w:val="06E426D9"/>
    <w:rsid w:val="0748662D"/>
    <w:rsid w:val="07E51AAD"/>
    <w:rsid w:val="09271C52"/>
    <w:rsid w:val="092A18CA"/>
    <w:rsid w:val="09360EE6"/>
    <w:rsid w:val="09CD0A4B"/>
    <w:rsid w:val="0A9642EF"/>
    <w:rsid w:val="0AB86A22"/>
    <w:rsid w:val="0B0E7430"/>
    <w:rsid w:val="0C156D55"/>
    <w:rsid w:val="0CC73E89"/>
    <w:rsid w:val="0D4E5761"/>
    <w:rsid w:val="0DA319DC"/>
    <w:rsid w:val="0DA46170"/>
    <w:rsid w:val="0E2C19EE"/>
    <w:rsid w:val="0F916077"/>
    <w:rsid w:val="0FB57FB7"/>
    <w:rsid w:val="115B583E"/>
    <w:rsid w:val="11C0052E"/>
    <w:rsid w:val="11C97D4A"/>
    <w:rsid w:val="11CC15E8"/>
    <w:rsid w:val="12722596"/>
    <w:rsid w:val="12AA551C"/>
    <w:rsid w:val="12BC165D"/>
    <w:rsid w:val="138403CC"/>
    <w:rsid w:val="148E4C9A"/>
    <w:rsid w:val="165322D8"/>
    <w:rsid w:val="177C760C"/>
    <w:rsid w:val="185D1C5F"/>
    <w:rsid w:val="19537E9F"/>
    <w:rsid w:val="19C0142D"/>
    <w:rsid w:val="19F405A7"/>
    <w:rsid w:val="1A8A3DEE"/>
    <w:rsid w:val="1C396EEF"/>
    <w:rsid w:val="1D7940CD"/>
    <w:rsid w:val="1DA14831"/>
    <w:rsid w:val="1F3C7DAD"/>
    <w:rsid w:val="1FA96AD4"/>
    <w:rsid w:val="203C14F6"/>
    <w:rsid w:val="210F75CC"/>
    <w:rsid w:val="22144BB3"/>
    <w:rsid w:val="228C4BA7"/>
    <w:rsid w:val="22C411A4"/>
    <w:rsid w:val="22DB2D85"/>
    <w:rsid w:val="231B23CF"/>
    <w:rsid w:val="23FE7D27"/>
    <w:rsid w:val="249146F7"/>
    <w:rsid w:val="24973CD7"/>
    <w:rsid w:val="25276E09"/>
    <w:rsid w:val="25E44CFA"/>
    <w:rsid w:val="263C68E5"/>
    <w:rsid w:val="26D50B64"/>
    <w:rsid w:val="270A0791"/>
    <w:rsid w:val="273D777B"/>
    <w:rsid w:val="27547D16"/>
    <w:rsid w:val="282E7DB8"/>
    <w:rsid w:val="28321D4D"/>
    <w:rsid w:val="28355CE1"/>
    <w:rsid w:val="28862804"/>
    <w:rsid w:val="2A3049B2"/>
    <w:rsid w:val="2A5561C7"/>
    <w:rsid w:val="2A847B4D"/>
    <w:rsid w:val="2B870602"/>
    <w:rsid w:val="2C714E0E"/>
    <w:rsid w:val="2D3E1194"/>
    <w:rsid w:val="2E136AA5"/>
    <w:rsid w:val="2E7510C8"/>
    <w:rsid w:val="2E8E614B"/>
    <w:rsid w:val="2ECB6253"/>
    <w:rsid w:val="2EEB534C"/>
    <w:rsid w:val="2FDA1537"/>
    <w:rsid w:val="301D1535"/>
    <w:rsid w:val="30F54260"/>
    <w:rsid w:val="31466869"/>
    <w:rsid w:val="3207354B"/>
    <w:rsid w:val="328A09D8"/>
    <w:rsid w:val="33173320"/>
    <w:rsid w:val="331E3122"/>
    <w:rsid w:val="33661445"/>
    <w:rsid w:val="34126ED7"/>
    <w:rsid w:val="3422536C"/>
    <w:rsid w:val="34993154"/>
    <w:rsid w:val="35C35E01"/>
    <w:rsid w:val="36DF7544"/>
    <w:rsid w:val="37630DA9"/>
    <w:rsid w:val="37812EB9"/>
    <w:rsid w:val="37AB4265"/>
    <w:rsid w:val="380F6006"/>
    <w:rsid w:val="383C09C6"/>
    <w:rsid w:val="38637D01"/>
    <w:rsid w:val="38706ABF"/>
    <w:rsid w:val="38B467AE"/>
    <w:rsid w:val="38E30E42"/>
    <w:rsid w:val="38F90665"/>
    <w:rsid w:val="3951224F"/>
    <w:rsid w:val="3A3E409C"/>
    <w:rsid w:val="3A886145"/>
    <w:rsid w:val="3B0357CB"/>
    <w:rsid w:val="3B283FEC"/>
    <w:rsid w:val="3BA548E8"/>
    <w:rsid w:val="3C375A19"/>
    <w:rsid w:val="3CCF4FA4"/>
    <w:rsid w:val="3D82466D"/>
    <w:rsid w:val="3D9C144D"/>
    <w:rsid w:val="3E040F4F"/>
    <w:rsid w:val="3E470B05"/>
    <w:rsid w:val="3E5054D0"/>
    <w:rsid w:val="3F6A5E19"/>
    <w:rsid w:val="40C61775"/>
    <w:rsid w:val="411C72CF"/>
    <w:rsid w:val="41D8350E"/>
    <w:rsid w:val="41D93BC8"/>
    <w:rsid w:val="42DF44B7"/>
    <w:rsid w:val="43981875"/>
    <w:rsid w:val="43C21048"/>
    <w:rsid w:val="440700DA"/>
    <w:rsid w:val="442E1B0B"/>
    <w:rsid w:val="44642F49"/>
    <w:rsid w:val="446C5795"/>
    <w:rsid w:val="44FB75C1"/>
    <w:rsid w:val="452779D7"/>
    <w:rsid w:val="45AD2346"/>
    <w:rsid w:val="45E06E35"/>
    <w:rsid w:val="463E4FCC"/>
    <w:rsid w:val="4646138E"/>
    <w:rsid w:val="465316EE"/>
    <w:rsid w:val="46A96AF5"/>
    <w:rsid w:val="47847862"/>
    <w:rsid w:val="47CB13D6"/>
    <w:rsid w:val="484F2050"/>
    <w:rsid w:val="4968161B"/>
    <w:rsid w:val="49793828"/>
    <w:rsid w:val="49BC0C8A"/>
    <w:rsid w:val="49F20DD4"/>
    <w:rsid w:val="4A476E40"/>
    <w:rsid w:val="4A5943A5"/>
    <w:rsid w:val="4AAE4CC8"/>
    <w:rsid w:val="4AB11331"/>
    <w:rsid w:val="4BAB7C31"/>
    <w:rsid w:val="4C1E50F0"/>
    <w:rsid w:val="4E005F07"/>
    <w:rsid w:val="4F1D4C56"/>
    <w:rsid w:val="4F247D92"/>
    <w:rsid w:val="4F7A20A8"/>
    <w:rsid w:val="4F826617"/>
    <w:rsid w:val="505700D5"/>
    <w:rsid w:val="50DB0924"/>
    <w:rsid w:val="50E61077"/>
    <w:rsid w:val="52BE22AC"/>
    <w:rsid w:val="53761EA1"/>
    <w:rsid w:val="547118E5"/>
    <w:rsid w:val="54F2478B"/>
    <w:rsid w:val="55AB1165"/>
    <w:rsid w:val="562E7E99"/>
    <w:rsid w:val="56E44D2C"/>
    <w:rsid w:val="56FD5BDE"/>
    <w:rsid w:val="57D1482F"/>
    <w:rsid w:val="584274DB"/>
    <w:rsid w:val="58C148A4"/>
    <w:rsid w:val="58F22CAF"/>
    <w:rsid w:val="5AE12FDB"/>
    <w:rsid w:val="5B2B3302"/>
    <w:rsid w:val="5BAD3E7B"/>
    <w:rsid w:val="5C322509"/>
    <w:rsid w:val="5C48030E"/>
    <w:rsid w:val="5C54188A"/>
    <w:rsid w:val="5C600B75"/>
    <w:rsid w:val="5CA93FCD"/>
    <w:rsid w:val="5CAB38A1"/>
    <w:rsid w:val="5D4D4958"/>
    <w:rsid w:val="5DB449D7"/>
    <w:rsid w:val="6005151A"/>
    <w:rsid w:val="60640C85"/>
    <w:rsid w:val="619D39B2"/>
    <w:rsid w:val="62390D32"/>
    <w:rsid w:val="624C5C4B"/>
    <w:rsid w:val="62C751AC"/>
    <w:rsid w:val="6333694F"/>
    <w:rsid w:val="639F3A33"/>
    <w:rsid w:val="64356146"/>
    <w:rsid w:val="64E831B8"/>
    <w:rsid w:val="65110961"/>
    <w:rsid w:val="65150451"/>
    <w:rsid w:val="654536A3"/>
    <w:rsid w:val="65E1272E"/>
    <w:rsid w:val="662A1A05"/>
    <w:rsid w:val="6636396E"/>
    <w:rsid w:val="66820E96"/>
    <w:rsid w:val="66E47FD9"/>
    <w:rsid w:val="67222378"/>
    <w:rsid w:val="677F7E04"/>
    <w:rsid w:val="67B3016B"/>
    <w:rsid w:val="68190258"/>
    <w:rsid w:val="68BC5661"/>
    <w:rsid w:val="69A8099A"/>
    <w:rsid w:val="6A331379"/>
    <w:rsid w:val="6A5437CA"/>
    <w:rsid w:val="6A721EA2"/>
    <w:rsid w:val="6B016D82"/>
    <w:rsid w:val="6BDA5F51"/>
    <w:rsid w:val="6C1A634D"/>
    <w:rsid w:val="6CCC4BF6"/>
    <w:rsid w:val="6E6C6C08"/>
    <w:rsid w:val="6F997ED1"/>
    <w:rsid w:val="6FED0CA3"/>
    <w:rsid w:val="70C76FE4"/>
    <w:rsid w:val="712F289B"/>
    <w:rsid w:val="71995F66"/>
    <w:rsid w:val="71A32941"/>
    <w:rsid w:val="71AC4AA1"/>
    <w:rsid w:val="71BC3A02"/>
    <w:rsid w:val="720E640F"/>
    <w:rsid w:val="72B91C82"/>
    <w:rsid w:val="735B7C4E"/>
    <w:rsid w:val="74123DAE"/>
    <w:rsid w:val="74BA06CD"/>
    <w:rsid w:val="74D74BBC"/>
    <w:rsid w:val="75750FAD"/>
    <w:rsid w:val="775D5DB3"/>
    <w:rsid w:val="791834E2"/>
    <w:rsid w:val="7A2635E7"/>
    <w:rsid w:val="7AD022E1"/>
    <w:rsid w:val="7AE9619A"/>
    <w:rsid w:val="7C1E63F3"/>
    <w:rsid w:val="7C871131"/>
    <w:rsid w:val="7D2002D6"/>
    <w:rsid w:val="7EB63DB0"/>
    <w:rsid w:val="7F346D5B"/>
    <w:rsid w:val="7F9D13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3"/>
    <w:next w:val="1"/>
    <w:qFormat/>
    <w:uiPriority w:val="0"/>
    <w:pPr>
      <w:tabs>
        <w:tab w:val="right" w:pos="8490"/>
      </w:tabs>
      <w:spacing w:beforeAutospacing="1" w:afterAutospacing="1"/>
      <w:jc w:val="left"/>
      <w:outlineLvl w:val="0"/>
    </w:pPr>
    <w:rPr>
      <w:rFonts w:hint="eastAsia" w:ascii="宋体" w:hAnsi="宋体" w:eastAsia="宋体" w:cs="Times New Roman"/>
      <w:kern w:val="44"/>
      <w:sz w:val="48"/>
      <w:szCs w:val="48"/>
    </w:rPr>
  </w:style>
  <w:style w:type="paragraph" w:styleId="4">
    <w:name w:val="heading 2"/>
    <w:basedOn w:val="1"/>
    <w:next w:val="1"/>
    <w:link w:val="48"/>
    <w:qFormat/>
    <w:uiPriority w:val="0"/>
    <w:pPr>
      <w:keepNext/>
      <w:keepLines/>
      <w:spacing w:line="413" w:lineRule="auto"/>
      <w:outlineLvl w:val="1"/>
    </w:pPr>
    <w:rPr>
      <w:rFonts w:ascii="Arial" w:hAnsi="Arial" w:eastAsia="黑体"/>
      <w:sz w:val="32"/>
    </w:rPr>
  </w:style>
  <w:style w:type="paragraph" w:styleId="5">
    <w:name w:val="heading 3"/>
    <w:basedOn w:val="1"/>
    <w:next w:val="1"/>
    <w:link w:val="49"/>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25">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3">
    <w:name w:val="Title"/>
    <w:basedOn w:val="1"/>
    <w:next w:val="1"/>
    <w:qFormat/>
    <w:uiPriority w:val="10"/>
    <w:pPr>
      <w:tabs>
        <w:tab w:val="right" w:pos="8490"/>
      </w:tabs>
      <w:spacing w:before="240" w:after="60"/>
      <w:jc w:val="center"/>
      <w:outlineLvl w:val="0"/>
    </w:pPr>
    <w:rPr>
      <w:rFonts w:ascii="Arial" w:hAnsi="Arial" w:eastAsia="宋体" w:cs="Arial"/>
      <w:b/>
      <w:bCs/>
      <w:snapToGrid w:val="0"/>
      <w:sz w:val="32"/>
      <w:szCs w:val="32"/>
    </w:rPr>
  </w:style>
  <w:style w:type="paragraph" w:styleId="6">
    <w:name w:val="table of authorities"/>
    <w:basedOn w:val="1"/>
    <w:next w:val="1"/>
    <w:qFormat/>
    <w:uiPriority w:val="0"/>
    <w:pPr>
      <w:ind w:left="420" w:leftChars="200"/>
    </w:pPr>
  </w:style>
  <w:style w:type="paragraph" w:styleId="7">
    <w:name w:val="Normal Indent"/>
    <w:basedOn w:val="1"/>
    <w:next w:val="1"/>
    <w:qFormat/>
    <w:uiPriority w:val="0"/>
    <w:pPr>
      <w:ind w:firstLine="420" w:firstLineChars="200"/>
    </w:pPr>
    <w:rPr>
      <w:rFonts w:eastAsia="仿宋"/>
      <w:sz w:val="32"/>
    </w:rPr>
  </w:style>
  <w:style w:type="paragraph" w:styleId="8">
    <w:name w:val="Document Map"/>
    <w:basedOn w:val="1"/>
    <w:link w:val="47"/>
    <w:qFormat/>
    <w:uiPriority w:val="99"/>
    <w:rPr>
      <w:rFonts w:ascii="宋体" w:eastAsia="宋体"/>
      <w:sz w:val="18"/>
      <w:szCs w:val="18"/>
    </w:rPr>
  </w:style>
  <w:style w:type="paragraph" w:styleId="9">
    <w:name w:val="Body Text"/>
    <w:basedOn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Indent"/>
    <w:basedOn w:val="1"/>
    <w:next w:val="11"/>
    <w:qFormat/>
    <w:uiPriority w:val="0"/>
    <w:pPr>
      <w:spacing w:after="120"/>
      <w:ind w:left="420" w:leftChars="200"/>
    </w:pPr>
  </w:style>
  <w:style w:type="paragraph" w:styleId="11">
    <w:name w:val="header"/>
    <w:basedOn w:val="1"/>
    <w:next w:val="12"/>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footer"/>
    <w:basedOn w:val="1"/>
    <w:link w:val="45"/>
    <w:qFormat/>
    <w:uiPriority w:val="99"/>
    <w:pPr>
      <w:tabs>
        <w:tab w:val="center" w:pos="4153"/>
        <w:tab w:val="right" w:pos="8306"/>
      </w:tabs>
      <w:snapToGrid w:val="0"/>
      <w:jc w:val="left"/>
    </w:pPr>
    <w:rPr>
      <w:sz w:val="18"/>
      <w:szCs w:val="18"/>
    </w:rPr>
  </w:style>
  <w:style w:type="paragraph" w:styleId="13">
    <w:name w:val="toc 5"/>
    <w:basedOn w:val="1"/>
    <w:next w:val="1"/>
    <w:qFormat/>
    <w:uiPriority w:val="0"/>
    <w:pPr>
      <w:ind w:left="1680" w:leftChars="800"/>
    </w:pPr>
  </w:style>
  <w:style w:type="paragraph" w:styleId="14">
    <w:name w:val="Date"/>
    <w:basedOn w:val="1"/>
    <w:next w:val="1"/>
    <w:qFormat/>
    <w:uiPriority w:val="0"/>
    <w:rPr>
      <w:rFonts w:ascii="宋体"/>
      <w:sz w:val="32"/>
      <w:szCs w:val="20"/>
    </w:rPr>
  </w:style>
  <w:style w:type="paragraph" w:styleId="15">
    <w:name w:val="toc 1"/>
    <w:basedOn w:val="1"/>
    <w:next w:val="1"/>
    <w:qFormat/>
    <w:uiPriority w:val="39"/>
  </w:style>
  <w:style w:type="paragraph" w:styleId="16">
    <w:name w:val="toc 2"/>
    <w:basedOn w:val="1"/>
    <w:next w:val="1"/>
    <w:autoRedefine/>
    <w:qFormat/>
    <w:uiPriority w:val="39"/>
    <w:pPr>
      <w:ind w:left="420" w:leftChars="200"/>
    </w:pPr>
  </w:style>
  <w:style w:type="paragraph" w:styleId="17">
    <w:name w:val="Body Text 2"/>
    <w:basedOn w:val="1"/>
    <w:autoRedefine/>
    <w:qFormat/>
    <w:uiPriority w:val="0"/>
    <w:pPr>
      <w:spacing w:after="120" w:afterAutospacing="0" w:line="480" w:lineRule="auto"/>
    </w:pPr>
  </w:style>
  <w:style w:type="paragraph" w:styleId="18">
    <w:name w:val="HTML Preformatted"/>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9">
    <w:name w:val="Normal (Web)"/>
    <w:basedOn w:val="1"/>
    <w:next w:val="1"/>
    <w:autoRedefine/>
    <w:qFormat/>
    <w:uiPriority w:val="99"/>
    <w:rPr>
      <w:rFonts w:ascii="Times New Roman" w:hAnsi="Times New Roman" w:cs="Times New Roman"/>
      <w:sz w:val="24"/>
      <w:szCs w:val="24"/>
    </w:rPr>
  </w:style>
  <w:style w:type="paragraph" w:styleId="20">
    <w:name w:val="index 1"/>
    <w:basedOn w:val="1"/>
    <w:next w:val="1"/>
    <w:autoRedefine/>
    <w:qFormat/>
    <w:uiPriority w:val="0"/>
    <w:rPr>
      <w:szCs w:val="20"/>
    </w:rPr>
  </w:style>
  <w:style w:type="paragraph" w:styleId="21">
    <w:name w:val="Body Text First Indent"/>
    <w:basedOn w:val="9"/>
    <w:autoRedefine/>
    <w:qFormat/>
    <w:uiPriority w:val="99"/>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2">
    <w:name w:val="Body Text First Indent 2"/>
    <w:basedOn w:val="10"/>
    <w:next w:val="1"/>
    <w:autoRedefine/>
    <w:qFormat/>
    <w:uiPriority w:val="0"/>
    <w:pPr>
      <w:spacing w:after="0"/>
      <w:ind w:firstLine="420" w:firstLineChars="200"/>
    </w:p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正文首行缩进 21"/>
    <w:basedOn w:val="27"/>
    <w:next w:val="19"/>
    <w:autoRedefine/>
    <w:qFormat/>
    <w:uiPriority w:val="0"/>
    <w:rPr>
      <w:rFonts w:ascii="Calibri" w:hAnsi="Calibri" w:eastAsia="仿宋_GB2312" w:cs="黑体"/>
      <w:sz w:val="32"/>
      <w:szCs w:val="32"/>
    </w:rPr>
  </w:style>
  <w:style w:type="paragraph" w:customStyle="1" w:styleId="27">
    <w:name w:val="正文文本缩进1"/>
    <w:basedOn w:val="1"/>
    <w:next w:val="28"/>
    <w:autoRedefine/>
    <w:qFormat/>
    <w:uiPriority w:val="0"/>
    <w:pPr>
      <w:ind w:left="200" w:leftChars="200"/>
    </w:pPr>
  </w:style>
  <w:style w:type="paragraph" w:customStyle="1" w:styleId="28">
    <w:name w:val="正文缩进1"/>
    <w:basedOn w:val="1"/>
    <w:autoRedefine/>
    <w:qFormat/>
    <w:uiPriority w:val="99"/>
    <w:pPr>
      <w:ind w:firstLine="420" w:firstLineChars="200"/>
    </w:pPr>
    <w:rPr>
      <w:rFonts w:eastAsia="宋体"/>
      <w:sz w:val="21"/>
      <w:szCs w:val="24"/>
    </w:rPr>
  </w:style>
  <w:style w:type="paragraph" w:customStyle="1" w:styleId="29">
    <w:name w:val="目录 11"/>
    <w:next w:val="1"/>
    <w:autoRedefine/>
    <w:qFormat/>
    <w:uiPriority w:val="0"/>
    <w:pPr>
      <w:wordWrap w:val="0"/>
      <w:jc w:val="both"/>
    </w:pPr>
    <w:rPr>
      <w:rFonts w:ascii="Calibri" w:hAnsi="Calibri" w:eastAsia="宋体" w:cs="Times New Roman"/>
      <w:sz w:val="21"/>
      <w:szCs w:val="22"/>
      <w:lang w:val="en-US" w:eastAsia="zh-CN" w:bidi="ar-SA"/>
    </w:rPr>
  </w:style>
  <w:style w:type="paragraph" w:customStyle="1" w:styleId="30">
    <w:name w:val="普通(网站)1"/>
    <w:basedOn w:val="1"/>
    <w:next w:val="1"/>
    <w:autoRedefine/>
    <w:qFormat/>
    <w:uiPriority w:val="0"/>
    <w:pPr>
      <w:spacing w:beforeAutospacing="1" w:afterAutospacing="1"/>
      <w:jc w:val="left"/>
    </w:pPr>
    <w:rPr>
      <w:kern w:val="0"/>
      <w:sz w:val="24"/>
    </w:rPr>
  </w:style>
  <w:style w:type="paragraph" w:customStyle="1" w:styleId="31">
    <w:name w:val="Char Char Char Char Char Char Char Char Char Char Char Char1 Char Char Char Char Char Char Char Char Char Char"/>
    <w:basedOn w:val="1"/>
    <w:autoRedefine/>
    <w:qFormat/>
    <w:uiPriority w:val="0"/>
    <w:rPr>
      <w:rFonts w:ascii="宋体" w:hAnsi="宋体" w:eastAsia="Times New Roman" w:cs="Times New Roman"/>
      <w:b/>
      <w:kern w:val="0"/>
      <w:sz w:val="28"/>
      <w:szCs w:val="28"/>
    </w:rPr>
  </w:style>
  <w:style w:type="paragraph" w:customStyle="1" w:styleId="32">
    <w:name w:val="Char Char"/>
    <w:basedOn w:val="8"/>
    <w:autoRedefine/>
    <w:qFormat/>
    <w:uiPriority w:val="0"/>
  </w:style>
  <w:style w:type="paragraph" w:customStyle="1" w:styleId="3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List Paragraph_2d0e798d-56ef-4da5-b18f-79654071f43f"/>
    <w:basedOn w:val="1"/>
    <w:autoRedefine/>
    <w:qFormat/>
    <w:uiPriority w:val="99"/>
    <w:pPr>
      <w:ind w:firstLine="420" w:firstLineChars="200"/>
    </w:pPr>
  </w:style>
  <w:style w:type="paragraph" w:customStyle="1" w:styleId="35">
    <w:name w:val="Char Char1"/>
    <w:basedOn w:val="8"/>
    <w:autoRedefine/>
    <w:qFormat/>
    <w:uiPriority w:val="0"/>
    <w:rPr>
      <w:rFonts w:hAnsi="Calibri"/>
    </w:rPr>
  </w:style>
  <w:style w:type="paragraph" w:customStyle="1" w:styleId="36">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BodyText1I"/>
    <w:basedOn w:val="38"/>
    <w:next w:val="39"/>
    <w:autoRedefine/>
    <w:qFormat/>
    <w:uiPriority w:val="99"/>
    <w:pPr>
      <w:ind w:firstLine="420" w:firstLineChars="100"/>
    </w:pPr>
  </w:style>
  <w:style w:type="paragraph" w:customStyle="1" w:styleId="38">
    <w:name w:val="BodyText"/>
    <w:basedOn w:val="1"/>
    <w:next w:val="1"/>
    <w:autoRedefine/>
    <w:qFormat/>
    <w:uiPriority w:val="99"/>
    <w:pPr>
      <w:spacing w:after="120"/>
    </w:pPr>
  </w:style>
  <w:style w:type="paragraph" w:customStyle="1" w:styleId="39">
    <w:name w:val="BodyText1I2"/>
    <w:basedOn w:val="40"/>
    <w:next w:val="37"/>
    <w:autoRedefine/>
    <w:qFormat/>
    <w:uiPriority w:val="99"/>
    <w:pPr>
      <w:ind w:firstLine="420"/>
    </w:pPr>
    <w:rPr>
      <w:kern w:val="0"/>
    </w:rPr>
  </w:style>
  <w:style w:type="paragraph" w:customStyle="1" w:styleId="40">
    <w:name w:val="BodyTextIndent"/>
    <w:basedOn w:val="1"/>
    <w:next w:val="41"/>
    <w:autoRedefine/>
    <w:qFormat/>
    <w:uiPriority w:val="99"/>
    <w:pPr>
      <w:spacing w:after="120"/>
      <w:ind w:left="420" w:leftChars="200"/>
    </w:pPr>
  </w:style>
  <w:style w:type="paragraph" w:customStyle="1" w:styleId="41">
    <w:name w:val="NormalIndent"/>
    <w:basedOn w:val="1"/>
    <w:autoRedefine/>
    <w:qFormat/>
    <w:uiPriority w:val="99"/>
    <w:pPr>
      <w:ind w:firstLine="420"/>
    </w:pPr>
    <w:rPr>
      <w:rFonts w:eastAsia="仿宋"/>
      <w:sz w:val="32"/>
      <w:szCs w:val="32"/>
    </w:rPr>
  </w:style>
  <w:style w:type="paragraph" w:customStyle="1" w:styleId="42">
    <w:name w:val="WPSOffice手动目录 1"/>
    <w:autoRedefine/>
    <w:qFormat/>
    <w:uiPriority w:val="0"/>
    <w:pPr>
      <w:ind w:leftChars="0"/>
    </w:pPr>
    <w:rPr>
      <w:rFonts w:ascii="Times New Roman" w:hAnsi="Times New Roman" w:eastAsia="宋体" w:cs="Times New Roman"/>
      <w:sz w:val="20"/>
      <w:szCs w:val="20"/>
      <w:lang w:val="en-US" w:eastAsia="zh-CN" w:bidi="ar-SA"/>
    </w:rPr>
  </w:style>
  <w:style w:type="paragraph" w:customStyle="1" w:styleId="43">
    <w:name w:val="WPSOffice手动目录 2"/>
    <w:autoRedefine/>
    <w:qFormat/>
    <w:uiPriority w:val="0"/>
    <w:pPr>
      <w:ind w:leftChars="200"/>
    </w:pPr>
    <w:rPr>
      <w:rFonts w:ascii="Times New Roman" w:hAnsi="Times New Roman" w:eastAsia="宋体" w:cs="Times New Roman"/>
      <w:sz w:val="20"/>
      <w:szCs w:val="20"/>
      <w:lang w:val="en-US" w:eastAsia="zh-CN" w:bidi="ar-SA"/>
    </w:rPr>
  </w:style>
  <w:style w:type="character" w:customStyle="1" w:styleId="44">
    <w:name w:val="页眉 Char"/>
    <w:basedOn w:val="25"/>
    <w:link w:val="11"/>
    <w:autoRedefine/>
    <w:qFormat/>
    <w:uiPriority w:val="99"/>
    <w:rPr>
      <w:rFonts w:ascii="等线" w:hAnsi="等线" w:eastAsia="等线" w:cs="黑体"/>
      <w:kern w:val="2"/>
      <w:sz w:val="18"/>
      <w:szCs w:val="18"/>
    </w:rPr>
  </w:style>
  <w:style w:type="character" w:customStyle="1" w:styleId="45">
    <w:name w:val="页脚 Char"/>
    <w:basedOn w:val="25"/>
    <w:link w:val="12"/>
    <w:autoRedefine/>
    <w:qFormat/>
    <w:uiPriority w:val="99"/>
    <w:rPr>
      <w:rFonts w:ascii="等线" w:hAnsi="等线" w:eastAsia="等线" w:cs="黑体"/>
      <w:kern w:val="2"/>
      <w:sz w:val="18"/>
      <w:szCs w:val="18"/>
    </w:rPr>
  </w:style>
  <w:style w:type="character" w:customStyle="1" w:styleId="46">
    <w:name w:val="样式 仿宋_GB2312 四号"/>
    <w:autoRedefine/>
    <w:qFormat/>
    <w:uiPriority w:val="0"/>
    <w:rPr>
      <w:rFonts w:ascii="仿宋_GB2312" w:hAnsi="仿宋_GB2312" w:eastAsia="仿宋_GB2312"/>
      <w:sz w:val="28"/>
    </w:rPr>
  </w:style>
  <w:style w:type="character" w:customStyle="1" w:styleId="47">
    <w:name w:val="文档结构图 Char"/>
    <w:basedOn w:val="25"/>
    <w:link w:val="8"/>
    <w:autoRedefine/>
    <w:qFormat/>
    <w:uiPriority w:val="99"/>
    <w:rPr>
      <w:rFonts w:ascii="宋体" w:hAnsi="等线" w:cs="黑体"/>
      <w:kern w:val="2"/>
      <w:sz w:val="18"/>
      <w:szCs w:val="18"/>
    </w:rPr>
  </w:style>
  <w:style w:type="character" w:customStyle="1" w:styleId="48">
    <w:name w:val="标题 2 Char"/>
    <w:link w:val="4"/>
    <w:autoRedefine/>
    <w:qFormat/>
    <w:uiPriority w:val="0"/>
    <w:rPr>
      <w:rFonts w:ascii="Arial" w:hAnsi="Arial" w:eastAsia="黑体"/>
      <w:sz w:val="32"/>
    </w:rPr>
  </w:style>
  <w:style w:type="character" w:customStyle="1" w:styleId="49">
    <w:name w:val="标题 3 Char"/>
    <w:link w:val="5"/>
    <w:autoRedefine/>
    <w:qFormat/>
    <w:uiPriority w:val="0"/>
    <w:rPr>
      <w:rFonts w:hint="eastAsia" w:ascii="宋体" w:hAnsi="宋体" w:eastAsia="宋体" w:cs="宋体"/>
      <w:b/>
      <w:kern w:val="0"/>
      <w:sz w:val="27"/>
      <w:szCs w:val="27"/>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38</Pages>
  <Words>7808</Words>
  <Characters>7836</Characters>
  <Lines>0</Lines>
  <Paragraphs>43</Paragraphs>
  <TotalTime>0</TotalTime>
  <ScaleCrop>false</ScaleCrop>
  <LinksUpToDate>false</LinksUpToDate>
  <CharactersWithSpaces>7882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2019-11-15T03:29:00Z</dcterms:created>
  <dc:creator>Administrator</dc:creator>
  <cp:lastModifiedBy>宇</cp:lastModifiedBy>
  <cp:lastPrinted>2024-12-09T18:47:00Z</cp:lastPrinted>
  <dcterms:modified xsi:type="dcterms:W3CDTF">2025-03-05T07:38:12Z</dcterms:modified>
  <dc:title>长治市人民政府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42814EE380A749ED83BA3CD55DCCD3FC_13</vt:lpwstr>
  </property>
  <property fmtid="{D5CDD505-2E9C-101B-9397-08002B2CF9AE}" pid="4" name="KSOTemplateDocerSaveRecord">
    <vt:lpwstr>eyJoZGlkIjoiYTFhZmFhYTUwZjExZDlkODVkZDYzMGJkMTU2OGU0NWUiLCJ1c2VySWQiOiI0MzE3MDQzMzEifQ==</vt:lpwstr>
  </property>
</Properties>
</file>