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48FA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长治市上党区应急管理局</w:t>
      </w:r>
    </w:p>
    <w:p w14:paraId="61532A9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危险化学品经营许可办事指南</w:t>
      </w:r>
    </w:p>
    <w:p w14:paraId="62E8A4A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000000"/>
          <w:kern w:val="0"/>
          <w:sz w:val="32"/>
          <w:szCs w:val="32"/>
          <w:lang w:val="en-US" w:eastAsia="zh-CN" w:bidi="ar"/>
        </w:rPr>
      </w:pPr>
    </w:p>
    <w:p w14:paraId="44DBE45C">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一、行政许可事项名称：</w:t>
      </w:r>
    </w:p>
    <w:p w14:paraId="449747D8">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危险化学品经营许可</w:t>
      </w:r>
    </w:p>
    <w:p w14:paraId="5DCB8847">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二、基本要素</w:t>
      </w:r>
    </w:p>
    <w:p w14:paraId="7268795B">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1.设定依据</w:t>
      </w:r>
    </w:p>
    <w:p w14:paraId="5002B33D">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《危险化学品安全管理条例》（2011年国务院令第591号修订）第三十三条、第三十五条</w:t>
      </w:r>
    </w:p>
    <w:p w14:paraId="77DE62CF">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 xml:space="preserve">《危险化学品经营许可证管理办法》（2012年7月17日国家安全监管总局令第55号公布  根据2015年5月27日国家安全监管总局令第79号修正）第三条、第四条 </w:t>
      </w:r>
    </w:p>
    <w:p w14:paraId="39BD547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 xml:space="preserve">2.实施部门：长治市上党区应急管理局 </w:t>
      </w:r>
    </w:p>
    <w:p w14:paraId="280130DD">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 xml:space="preserve">3.行使层级：区级 </w:t>
      </w:r>
    </w:p>
    <w:p w14:paraId="529A3044">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 xml:space="preserve">4.是否由审批机关受理：是 </w:t>
      </w:r>
    </w:p>
    <w:p w14:paraId="13AC5CAA">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 xml:space="preserve">5.受理层级：区级 </w:t>
      </w:r>
    </w:p>
    <w:p w14:paraId="442CAD22">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三、行政许可事项类型</w:t>
      </w:r>
      <w:bookmarkStart w:id="0" w:name="_GoBack"/>
      <w:bookmarkEnd w:id="0"/>
    </w:p>
    <w:p w14:paraId="30836697">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行政许可</w:t>
      </w:r>
    </w:p>
    <w:p w14:paraId="2B0CF69D">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四、申请材料</w:t>
      </w:r>
    </w:p>
    <w:p w14:paraId="429B3446">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1、申请经营许可证的文件及申请书；</w:t>
      </w:r>
    </w:p>
    <w:p w14:paraId="6669FE3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2、安全生产规章制度和岗位操作规程的目录清单；</w:t>
      </w:r>
    </w:p>
    <w:p w14:paraId="49D0000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3、企业主要负责人、安全生产管理人员、特种作业人员的相关资质证书（复印件）和其他从业人员培训合格的证明材料；</w:t>
      </w:r>
    </w:p>
    <w:p w14:paraId="0D48B6C4">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4、经营场所产权证明文件或者租赁证明文件；</w:t>
      </w:r>
    </w:p>
    <w:p w14:paraId="1D54144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5、工商行政管理部门颁发的企业性质营业执照或者企业名称预先核准文件；</w:t>
      </w:r>
    </w:p>
    <w:p w14:paraId="57EEFB8B">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6、危险化学品事故应急预案备案登记表；</w:t>
      </w:r>
    </w:p>
    <w:p w14:paraId="68576A23">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带有储存设施经营危险化学品的，申请人还应当提交下列文件、资料：</w:t>
      </w:r>
    </w:p>
    <w:p w14:paraId="0A6E87B5">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储存设施相关证明文件；</w:t>
      </w:r>
    </w:p>
    <w:p w14:paraId="742888AB">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租赁储存设施的，需要提交租赁证明文件；</w:t>
      </w:r>
    </w:p>
    <w:p w14:paraId="245EFD36">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9、储存设施新建、改建、扩建的，需要提交危险化学品建设项目安全设施竣工验收报告；</w:t>
      </w:r>
    </w:p>
    <w:p w14:paraId="2CB881D3">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10、重大危险源备案证明材料；</w:t>
      </w:r>
    </w:p>
    <w:p w14:paraId="457F4577">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11、专职安全生产管理人员的学历证书、技术职称证书或者危险物品安全类注册安全工程师资格证书；</w:t>
      </w:r>
    </w:p>
    <w:p w14:paraId="33C5FDC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12、安全评价报告。</w:t>
      </w:r>
    </w:p>
    <w:p w14:paraId="4AE6C8F6">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五、审批程序</w:t>
      </w:r>
    </w:p>
    <w:p w14:paraId="64EA132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受理—审核—审批—办结</w:t>
      </w:r>
    </w:p>
    <w:p w14:paraId="2165EBAA">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六、受理和审批时限</w:t>
      </w:r>
    </w:p>
    <w:p w14:paraId="1138662A">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 xml:space="preserve">1.承诺受理时限：1个工作日 </w:t>
      </w:r>
    </w:p>
    <w:p w14:paraId="505E1B07">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2.法定审批时限：45个工作日</w:t>
      </w:r>
    </w:p>
    <w:p w14:paraId="3204891B">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3.承诺审批时限：20个工作日</w:t>
      </w:r>
    </w:p>
    <w:p w14:paraId="255D4BC1">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七、收费</w:t>
      </w:r>
    </w:p>
    <w:p w14:paraId="3FADFEE6">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办理行政许可是否收费：否</w:t>
      </w:r>
    </w:p>
    <w:p w14:paraId="7E5392B4">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八、办理地址</w:t>
      </w:r>
    </w:p>
    <w:p w14:paraId="5BCA18A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28"/>
          <w:szCs w:val="28"/>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长治市上党区行政审批中心区应急管理局综合受理窗口</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E950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985D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5985D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1D9EE"/>
    <w:multiLevelType w:val="singleLevel"/>
    <w:tmpl w:val="04B1D9EE"/>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DEC5180"/>
    <w:rsid w:val="018C6932"/>
    <w:rsid w:val="06A50BF6"/>
    <w:rsid w:val="08395955"/>
    <w:rsid w:val="11671785"/>
    <w:rsid w:val="117F262B"/>
    <w:rsid w:val="160B51C2"/>
    <w:rsid w:val="162C6AF9"/>
    <w:rsid w:val="1727452D"/>
    <w:rsid w:val="1C765074"/>
    <w:rsid w:val="1C9A0F05"/>
    <w:rsid w:val="1D214EDE"/>
    <w:rsid w:val="1E3B3D7D"/>
    <w:rsid w:val="21EA7E19"/>
    <w:rsid w:val="22DF561F"/>
    <w:rsid w:val="266D6A9E"/>
    <w:rsid w:val="28A86B34"/>
    <w:rsid w:val="2BC8116D"/>
    <w:rsid w:val="2BF0264B"/>
    <w:rsid w:val="2D2D4257"/>
    <w:rsid w:val="2DEC5180"/>
    <w:rsid w:val="2EC67693"/>
    <w:rsid w:val="35E30B2B"/>
    <w:rsid w:val="38B468FD"/>
    <w:rsid w:val="4383519A"/>
    <w:rsid w:val="456D26F5"/>
    <w:rsid w:val="4B137364"/>
    <w:rsid w:val="4B62393A"/>
    <w:rsid w:val="4E7F25FF"/>
    <w:rsid w:val="51452242"/>
    <w:rsid w:val="59457514"/>
    <w:rsid w:val="5BDE751B"/>
    <w:rsid w:val="5D0C4F3A"/>
    <w:rsid w:val="5E42664F"/>
    <w:rsid w:val="603262EF"/>
    <w:rsid w:val="647F1F31"/>
    <w:rsid w:val="64B654D9"/>
    <w:rsid w:val="699240AF"/>
    <w:rsid w:val="69D96F6F"/>
    <w:rsid w:val="71DF60AF"/>
    <w:rsid w:val="777D0839"/>
    <w:rsid w:val="77B74CE6"/>
    <w:rsid w:val="78016613"/>
    <w:rsid w:val="78A922A6"/>
    <w:rsid w:val="7CC8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672</Words>
  <Characters>700</Characters>
  <Lines>0</Lines>
  <Paragraphs>0</Paragraphs>
  <TotalTime>15</TotalTime>
  <ScaleCrop>false</ScaleCrop>
  <LinksUpToDate>false</LinksUpToDate>
  <CharactersWithSpaces>708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2024-03-18T02:21:00Z</dcterms:created>
  <dc:creator>499</dc:creator>
  <cp:lastModifiedBy>聪明→_→猪</cp:lastModifiedBy>
  <dcterms:modified xsi:type="dcterms:W3CDTF">2024-11-15T00:55:31Z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3DFB432002E24CD8B6138B95E61A5AAB_11</vt:lpwstr>
  </property>
</Properties>
</file>