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DA321">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p>
    <w:p w14:paraId="674B0BD4">
      <w:pPr>
        <w:pStyle w:val="5"/>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p>
    <w:p w14:paraId="4A25C9FB">
      <w:pPr>
        <w:pStyle w:val="5"/>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p>
    <w:p w14:paraId="5D3A132E">
      <w:pPr>
        <w:pStyle w:val="5"/>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p>
    <w:p w14:paraId="28CAF688">
      <w:pPr>
        <w:pStyle w:val="5"/>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p>
    <w:p w14:paraId="2BF39853">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color w:val="000000" w:themeColor="text1"/>
          <w:spacing w:val="0"/>
          <w:kern w:val="2"/>
          <w:sz w:val="32"/>
          <w:szCs w:val="32"/>
          <w:lang w:val="en-US" w:eastAsia="zh-CN" w:bidi="ar-SA"/>
          <w14:textFill>
            <w14:solidFill>
              <w14:schemeClr w14:val="tx1"/>
            </w14:solidFill>
          </w14:textFill>
        </w:rPr>
      </w:pPr>
    </w:p>
    <w:p w14:paraId="06DA0B5A">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color w:val="000000" w:themeColor="text1"/>
          <w:spacing w:val="0"/>
          <w:kern w:val="2"/>
          <w:sz w:val="32"/>
          <w:szCs w:val="32"/>
          <w:lang w:val="en-US" w:eastAsia="zh-CN" w:bidi="ar-SA"/>
          <w14:textFill>
            <w14:solidFill>
              <w14:schemeClr w14:val="tx1"/>
            </w14:solidFill>
          </w14:textFill>
        </w:rPr>
      </w:pPr>
    </w:p>
    <w:p w14:paraId="52E6722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color w:val="000000" w:themeColor="text1"/>
          <w:spacing w:val="0"/>
          <w:kern w:val="2"/>
          <w:sz w:val="32"/>
          <w:szCs w:val="32"/>
          <w:lang w:val="en-US" w:eastAsia="zh-CN" w:bidi="ar-SA"/>
          <w14:textFill>
            <w14:solidFill>
              <w14:schemeClr w14:val="tx1"/>
            </w14:solidFill>
          </w14:textFill>
        </w:rPr>
      </w:pPr>
    </w:p>
    <w:p w14:paraId="126BD6D5">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长上应急字〔2024〕61号</w:t>
      </w:r>
      <w:bookmarkStart w:id="0" w:name="_GoBack"/>
      <w:bookmarkEnd w:id="0"/>
    </w:p>
    <w:p w14:paraId="02759C52">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000000" w:themeColor="text1"/>
          <w:spacing w:val="0"/>
          <w:lang w:eastAsia="zh-CN"/>
          <w14:textFill>
            <w14:solidFill>
              <w14:schemeClr w14:val="tx1"/>
            </w14:solidFill>
          </w14:textFill>
        </w:rPr>
      </w:pPr>
    </w:p>
    <w:p w14:paraId="231BE473">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000000" w:themeColor="text1"/>
          <w:spacing w:val="0"/>
          <w:lang w:eastAsia="zh-CN"/>
          <w14:textFill>
            <w14:solidFill>
              <w14:schemeClr w14:val="tx1"/>
            </w14:solidFill>
          </w14:textFill>
        </w:rPr>
      </w:pPr>
    </w:p>
    <w:p w14:paraId="00ADC16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pacing w:val="0"/>
          <w:w w:val="10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sz w:val="44"/>
          <w:szCs w:val="44"/>
          <w:lang w:eastAsia="zh-CN"/>
          <w14:textFill>
            <w14:solidFill>
              <w14:schemeClr w14:val="tx1"/>
            </w14:solidFill>
          </w14:textFill>
        </w:rPr>
        <w:t>长治市上党区应急管理局</w:t>
      </w:r>
    </w:p>
    <w:p w14:paraId="0241A9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pacing w:val="0"/>
          <w:w w:val="100"/>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kern w:val="0"/>
          <w:sz w:val="44"/>
          <w:szCs w:val="44"/>
          <w:lang w:val="en-US" w:eastAsia="zh-CN"/>
          <w14:textFill>
            <w14:solidFill>
              <w14:schemeClr w14:val="tx1"/>
            </w14:solidFill>
          </w14:textFill>
        </w:rPr>
        <w:t>关于开展非煤矿山、危险化学品、洗（储）煤、工贸行业企业高处作业“百日”安全</w:t>
      </w:r>
    </w:p>
    <w:p w14:paraId="5B68DED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100"/>
          <w:kern w:val="0"/>
          <w:sz w:val="44"/>
          <w:szCs w:val="44"/>
          <w:lang w:val="en-US" w:eastAsia="zh-CN"/>
          <w14:textFill>
            <w14:solidFill>
              <w14:schemeClr w14:val="tx1"/>
            </w14:solidFill>
          </w14:textFill>
        </w:rPr>
        <w:t>专项整治行动的通知</w:t>
      </w:r>
    </w:p>
    <w:p w14:paraId="1F5B0E6A">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p>
    <w:p w14:paraId="2293B2FA">
      <w:pPr>
        <w:keepNext w:val="0"/>
        <w:keepLines w:val="0"/>
        <w:pageBreakBefore w:val="0"/>
        <w:widowControl/>
        <w:kinsoku/>
        <w:wordWrap/>
        <w:overflowPunct/>
        <w:topLinePunct w:val="0"/>
        <w:autoSpaceDE w:val="0"/>
        <w:autoSpaceDN w:val="0"/>
        <w:bidi w:val="0"/>
        <w:adjustRightInd w:val="0"/>
        <w:snapToGrid w:val="0"/>
        <w:spacing w:line="560" w:lineRule="exact"/>
        <w:ind w:left="0" w:leftChars="0"/>
        <w:jc w:val="both"/>
        <w:textAlignment w:val="baseline"/>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各相关企业：</w:t>
      </w:r>
    </w:p>
    <w:p w14:paraId="56C6785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sectPr>
          <w:pgSz w:w="11906" w:h="16838"/>
          <w:pgMar w:top="1440" w:right="1800" w:bottom="1440" w:left="1800"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今年以来，我省高处坠落事故多发频发，事故起数、死亡人数同比均有所上升，为深刻汲取事故教训，切实加强高处作业安全生产管理，有效遏制高处作业事故，根据《长治市上党区安全生产委员会办公室关于组织开展全区高处作业“百日”安全专项整治行动的通知》（长上安办发〔2024〕53号）要求，经研究决定，在全区非煤矿山、危险化学品、洗（储）煤、工贸行业企业开展高处作业“百日”安全专项</w:t>
      </w:r>
    </w:p>
    <w:p w14:paraId="4370042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整治行动，现将有关事项通知如下：</w:t>
      </w:r>
    </w:p>
    <w:p w14:paraId="6E920B76">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w w:val="100"/>
          <w:kern w:val="2"/>
          <w:position w:val="0"/>
          <w:sz w:val="32"/>
          <w:szCs w:val="32"/>
          <w:lang w:val="en-US" w:eastAsia="zh-CN" w:bidi="ar-SA"/>
          <w14:textFill>
            <w14:solidFill>
              <w14:schemeClr w14:val="tx1"/>
            </w14:solidFill>
          </w14:textFill>
        </w:rPr>
        <w:t>一、整治目标</w:t>
      </w:r>
    </w:p>
    <w:p w14:paraId="0D79515B">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深入学习贯彻习近平总书记关于安全生产重要指示批示精神，认真落实省、市、区关于安全生产工作的决策部署，牢固树立安全生产底线思维，按照“谁主管谁牵头、谁为主谁牵头、谁靠近谁牵头”的原则，全面排查和治理高处作业事故隐患，强化企业安全管理、教育培训、精准执法、事故查处、反“三违”行动等，有效预防和减少高处坠落事故的发生。</w:t>
      </w:r>
    </w:p>
    <w:p w14:paraId="345DF7CD">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w w:val="100"/>
          <w:kern w:val="2"/>
          <w:position w:val="0"/>
          <w:sz w:val="32"/>
          <w:szCs w:val="32"/>
          <w:lang w:val="en-US" w:eastAsia="zh-CN" w:bidi="ar-SA"/>
          <w14:textFill>
            <w14:solidFill>
              <w14:schemeClr w14:val="tx1"/>
            </w14:solidFill>
          </w14:textFill>
        </w:rPr>
        <w:t>二、整治时间</w:t>
      </w:r>
    </w:p>
    <w:p w14:paraId="1431235E">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从即日起至2024年11月底结束。</w:t>
      </w:r>
    </w:p>
    <w:p w14:paraId="5C1552D0">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w w:val="100"/>
          <w:kern w:val="2"/>
          <w:position w:val="0"/>
          <w:sz w:val="32"/>
          <w:szCs w:val="32"/>
          <w:lang w:val="en-US" w:eastAsia="zh-CN" w:bidi="ar-SA"/>
          <w14:textFill>
            <w14:solidFill>
              <w14:schemeClr w14:val="tx1"/>
            </w14:solidFill>
          </w14:textFill>
        </w:rPr>
        <w:t>三、整治内容</w:t>
      </w:r>
    </w:p>
    <w:p w14:paraId="6F95ED68">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（一）规范企业作业和现场管理。</w:t>
      </w:r>
    </w:p>
    <w:p w14:paraId="4E38CFD1">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1.围绕重大事故隐患判定标准体系提升及“一行业一清单”行动，将容易忽视且易酿成事故的高处作业活动纳入安全生产重要内容。</w:t>
      </w:r>
    </w:p>
    <w:p w14:paraId="2FFE4283">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2.高处作业必须编制防高处坠落专项方案，制定高处坠落风险分级管控清单，隐患排查治理清单，建立高处作业项目台账，细化高处作业流程，从事高处作业前必须办理《高处作业许可证》。</w:t>
      </w:r>
    </w:p>
    <w:p w14:paraId="213B0804">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3.加强对外包外租等关联单位的安全生产指导、监督和管理，将外包外租从业人员、劳务派遣人员、灵活用工人员纳入本单位统一人事管理、统一劳动保障、统一安全培训、统一落实安全责任、统一安全检查。</w:t>
      </w:r>
    </w:p>
    <w:p w14:paraId="0E8F481A">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4.加强对户外广告、景观路灯等涉及高处作业运行维护活动的安全监督，采取有力措施，强化风险管控。</w:t>
      </w:r>
    </w:p>
    <w:p w14:paraId="2ABBFDF7">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5.要紧盯设备安装、顶棚维修、吊装作业等施工现场作业人员的安全防护，督促施工人员正确使用和佩戴安全帽、安全带、安全绳、防滑鞋等安全防护用品。</w:t>
      </w:r>
    </w:p>
    <w:p w14:paraId="13C4AAA8">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6.高处作业人员必须严格执行定期体检合格后上岗制度，凡患有高血压、心脏病、癫痫病、恐高症或高度近视等身体状况不适合登高的人员，严禁其从事高处作业。作业基准面30米及以上作业人员，作业前必须体检。</w:t>
      </w:r>
    </w:p>
    <w:p w14:paraId="4C711420">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7.悬空高处作业要规范使用安全作业平台、高空作业车、高处作业吊篮、座板式单人吊具、脚手架等，脚手板要满铺、铺稳，并做好固定。</w:t>
      </w:r>
    </w:p>
    <w:p w14:paraId="0ADE0DA6">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8.交叉作业时，必须按指定的路线上下，禁止上下垂直作业，若必须垂直交叉作业时，坠落半径内设置硬质安全防护棚进行有效隔离防护、安全防护网或警戒隔离区等安全隔离措施。</w:t>
      </w:r>
    </w:p>
    <w:p w14:paraId="6777FCAF">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9.在石棉瓦上作业时，应用固定的跳板或铺瓦梯。在屋面、斜坡、坝顶、吊桥、框架边沿及设备顶上等立足不稳之处作业，均应装设脚手架、栏杆或安全网。</w:t>
      </w:r>
    </w:p>
    <w:p w14:paraId="674842A6">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10.严禁作业时上下抛掷工器具、材料，或大件工具及材料绑扎不牢固；严禁在无可靠安全防护设施的条件下，在屋架、桁架的上弦、支撑、檩条、挑架、挑梁、砌体、不固定的构件上行走或作业。</w:t>
      </w:r>
    </w:p>
    <w:p w14:paraId="52545C50">
      <w:pPr>
        <w:pStyle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11.脚手架的搭设、拆除应严格按照专项施工方案实施，</w:t>
      </w:r>
    </w:p>
    <w:p w14:paraId="43E5E4DE">
      <w:pPr>
        <w:pStyle w:val="14"/>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作业过程中应设警戒区域并应派专人旁站监护；外脚手架内立杆离主体结构间距超15cm应设置水平防护措施；附着式升降脚手架应按相关规范要求设置防坠落、防倾覆等措施；钢管、扣件和模板等材料和工具应码放可靠，不得放置在脚手架架体上和楼层临边处。</w:t>
      </w:r>
    </w:p>
    <w:p w14:paraId="6DC468B3">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12.高处作业临边工作面边沿必须设置围护设施，围护设施的高度应不低于1.2米。</w:t>
      </w:r>
    </w:p>
    <w:p w14:paraId="74D9F693">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13.六级以上大风、浓雾和大雨等恶劣天气，不得进行露天高处作业；恶劣天气过后，应对高处作业安全设施逐一检查，发现有松动、变形、损坏或脱落、漏雨、漏电等现象，应立即修理或重新设置。</w:t>
      </w:r>
    </w:p>
    <w:p w14:paraId="225C930C">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（二）强化“三项”人员教育培训工作。</w:t>
      </w:r>
    </w:p>
    <w:p w14:paraId="10037B6F">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1.各生产经营单位要将高处作业安全防范纳入本企业安全教育培训内容，对有关从业人员进行专题安全教育培训。</w:t>
      </w:r>
    </w:p>
    <w:p w14:paraId="7CCC9A6E">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2.上党区应急管理局将组织一次涉及高处作业企业主要负责人、安全管理人员的专题培训、考核，重点培训有关法律法规、作业规程、事故警示教育等内容。</w:t>
      </w:r>
    </w:p>
    <w:p w14:paraId="021B91FF">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高处作业人员必须经过安全培训教育并考取特种作业人员操作资格证书，从事脚手架搭设的人员必须具备有效的特种作业操作证（架子工证、登高架设证等）。严格落实省应急厅等9部门联合印发的《安全生产资格证书涉假专项</w:t>
      </w:r>
    </w:p>
    <w:p w14:paraId="6083458F">
      <w:pPr>
        <w:pStyle w:val="9"/>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治理工作实施方案》，坚决杜绝无证、假证上岗等违法违规</w:t>
      </w:r>
    </w:p>
    <w:p w14:paraId="5D1D5983">
      <w:pPr>
        <w:pStyle w:val="14"/>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行为。</w:t>
      </w:r>
    </w:p>
    <w:p w14:paraId="5A6C861C">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4.强化警示教育，通过在施工现场悬挂警示标语、展示警示图片等方式对作业人员进行警示教育，提醒作业人员时刻保持警惕。</w:t>
      </w:r>
    </w:p>
    <w:p w14:paraId="2C70D9E7">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（三）开展精准执法，从严打击违法行为。</w:t>
      </w:r>
    </w:p>
    <w:p w14:paraId="11AB665B">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综合运用“四不两直”、明查暗访等方式，依照重大事故隐患判定标准“一行业一清单”，深入开展精准执法，按照分级分类监管的原则，在“百日”安全专项整治期间组织开展一次执法检查。敢于动真碰硬，坚决杜绝安全监管执法“宽松软虚”。</w:t>
      </w:r>
    </w:p>
    <w:p w14:paraId="10F63784">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2.严厉打击企业未建立高处作业项目台账、未持证上岗、未对高处作业人员进行安全教育培训、高处作业人员不系安全带、安全防护设备质量不合格、防护用品缺少等行为。</w:t>
      </w:r>
    </w:p>
    <w:p w14:paraId="58B759A9">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3.对严重违法行为依法采取限期整改、停产整顿、关闭取缔、上限处罚、联合惩戒，对发现的重大事故隐患要采取立案查处、追责问责、公开曝光和“一案双罚”。</w:t>
      </w:r>
    </w:p>
    <w:p w14:paraId="7171DCD9">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（四）利剑高悬，严肃责任追究。</w:t>
      </w:r>
    </w:p>
    <w:p w14:paraId="7BA0DBD8">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1.对发生高处作业事故的生产经营单位依法进行事故调查，查明事故原因，认定事故性质，分清事故责任，按照“四不放过”的原则，严肃追究相关责任人的法律责任。</w:t>
      </w:r>
    </w:p>
    <w:p w14:paraId="54288875">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2.对责任落实不到位、隐患排查整治不力，以及工作滞后、推诿扯皮、敷衍塞责导致高处坠落事故屡禁不止的，进行曝光、通报、约谈。</w:t>
      </w:r>
    </w:p>
    <w:p w14:paraId="1DA0000D">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3.对不认真履行职责，发生高处坠落安全事故的，不仅要追究企业的责任，而且要追究监管责任，坚决做到“一案双查”。</w:t>
      </w:r>
    </w:p>
    <w:p w14:paraId="4B0DCCC4">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4.强化事故挂牌督办和典型事故跟踪督导，对瞒报、谎报等性质恶劣的，以及在“百日”安全专项整治期间发生生产安全事故进行提级调查。</w:t>
      </w:r>
    </w:p>
    <w:p w14:paraId="25BC4885">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（五）开展反“三违”行动，营造浓厚氛围。</w:t>
      </w:r>
    </w:p>
    <w:p w14:paraId="0C16F124">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1.各生产经营单位要开展反“三违”行动，聚焦高处作业人员“三违”行为，常态化组织开展事故警示教育、应急处置、自救互救等，编制高处作业应知应会手册，强化全员教育培训。</w:t>
      </w:r>
    </w:p>
    <w:p w14:paraId="6C35AE3A">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2.各生产经营单位要扎实开展职工安全隐患和职业危害“随手拍”活动，营造全社会关心、关注、支持安全生产的浓厚氛围。</w:t>
      </w:r>
    </w:p>
    <w:p w14:paraId="35E1A3F1">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严格落实《长治市上党区安全生产“六九九六”工作机制》文件中举报奖励直通化举措，激励“内部吹哨人”和从业人员积极向生产经营单位报告事故隐患。畅通举报渠道，进一步健全落实安全生产举报机制，对举报的重大事故隐患和突出问题的予以重奖。</w:t>
      </w:r>
    </w:p>
    <w:p w14:paraId="648B5D6F">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4.各生产经营单位要对“三违”人员要进行不少于1天的脱产培训，培训结束，考核合格后方可重新上岗。</w:t>
      </w:r>
    </w:p>
    <w:p w14:paraId="2B2FE1CB">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w w:val="100"/>
          <w:kern w:val="2"/>
          <w:position w:val="0"/>
          <w:sz w:val="32"/>
          <w:szCs w:val="32"/>
          <w:lang w:val="en-US" w:eastAsia="zh-CN" w:bidi="ar-SA"/>
          <w14:textFill>
            <w14:solidFill>
              <w14:schemeClr w14:val="tx1"/>
            </w14:solidFill>
          </w14:textFill>
        </w:rPr>
        <w:t>四、工作步骤</w:t>
      </w:r>
    </w:p>
    <w:p w14:paraId="3834D2BD">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（一）动员部署阶段（即日起至8月31日）</w:t>
      </w:r>
    </w:p>
    <w:p w14:paraId="62372877">
      <w:pPr>
        <w:pStyle w:val="9"/>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各企业要对照整治内容制定高处作业“百日”安全专项</w:t>
      </w:r>
    </w:p>
    <w:p w14:paraId="5EE5F553">
      <w:pPr>
        <w:pStyle w:val="14"/>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整治工作方案，开展自查自纠，立查立改，建立隐患排查整治台账，明确整改责任人和整改时限，实现闭环管理。</w:t>
      </w:r>
    </w:p>
    <w:p w14:paraId="7BC85D35">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（二）监督检查阶段（10月15日至11月15日）</w:t>
      </w:r>
      <w:r>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t xml:space="preserve"> </w:t>
      </w:r>
    </w:p>
    <w:p w14:paraId="4C40D30B">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针对本行业领域特点，开展全覆盖监督检查，对发现的问题和隐患立即督促责任单位进行整改，并跟踪落实，确保问题隐患督促整改到位、违法违规行为处罚到位，并</w:t>
      </w:r>
      <w:r>
        <w:rPr>
          <w:rFonts w:hint="eastAsia" w:ascii="仿宋_GB2312" w:hAnsi="仿宋_GB2312" w:eastAsia="仿宋_GB2312" w:cs="仿宋_GB2312"/>
          <w:b w:val="0"/>
          <w:bCs w:val="0"/>
          <w:color w:val="000000" w:themeColor="text1"/>
          <w:spacing w:val="0"/>
          <w:w w:val="100"/>
          <w:kern w:val="2"/>
          <w:position w:val="0"/>
          <w:sz w:val="32"/>
          <w:szCs w:val="32"/>
          <w:lang w:val="en-US" w:eastAsia="zh-CN" w:bidi="ar-SA"/>
          <w14:textFill>
            <w14:solidFill>
              <w14:schemeClr w14:val="tx1"/>
            </w14:solidFill>
          </w14:textFill>
        </w:rPr>
        <w:t>将此行动纳入安全生产治本攻坚年度重点工作任务。</w:t>
      </w:r>
    </w:p>
    <w:p w14:paraId="6E81C309">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（三）总结评估阶段（11月16日至11月30日）</w:t>
      </w:r>
      <w:r>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t xml:space="preserve"> </w:t>
      </w:r>
    </w:p>
    <w:p w14:paraId="72A7D0FE">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 xml:space="preserve">对“百日”安全专项整治行动工作开展情况和有关经验成效进行梳理总结，提炼优化好的经验做法，转化为常态化管理措施，建立健全高处作业防范长效机制，巩固“百日”安全专项整治成果，不断提高企业安全管理水平。 </w:t>
      </w:r>
    </w:p>
    <w:p w14:paraId="5533C906">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w w:val="100"/>
          <w:kern w:val="2"/>
          <w:position w:val="0"/>
          <w:sz w:val="32"/>
          <w:szCs w:val="32"/>
          <w:lang w:val="en-US" w:eastAsia="zh-CN" w:bidi="ar-SA"/>
          <w14:textFill>
            <w14:solidFill>
              <w14:schemeClr w14:val="tx1"/>
            </w14:solidFill>
          </w14:textFill>
        </w:rPr>
        <w:t>五、有关要求</w:t>
      </w:r>
      <w:r>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t xml:space="preserve"> </w:t>
      </w:r>
    </w:p>
    <w:p w14:paraId="2B9AE094">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楷体" w:hAnsi="楷体" w:eastAsia="楷体" w:cs="楷体"/>
          <w:color w:val="000000" w:themeColor="text1"/>
          <w:spacing w:val="0"/>
          <w:w w:val="100"/>
          <w:kern w:val="2"/>
          <w:position w:val="0"/>
          <w:sz w:val="32"/>
          <w:szCs w:val="32"/>
          <w:lang w:val="en-US" w:eastAsia="zh-CN" w:bidi="ar-SA"/>
          <w14:textFill>
            <w14:solidFill>
              <w14:schemeClr w14:val="tx1"/>
            </w14:solidFill>
          </w14:textFill>
        </w:rPr>
        <w:t>（一）强化组织领导。</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各企业要深刻领会文件精神，进一步提高政治站位，扎实开展高处作业“百日”安全专项整治行动，强化组织领导，立即安排部署，层层压实责任，确保整治行动取得实效。</w:t>
      </w:r>
    </w:p>
    <w:p w14:paraId="0D1FCE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楷体_GB2312" w:hAnsi="楷体_GB2312" w:eastAsia="楷体_GB2312" w:cs="楷体_GB2312"/>
          <w:b w:val="0"/>
          <w:kern w:val="2"/>
          <w:sz w:val="32"/>
          <w:szCs w:val="32"/>
          <w:lang w:val="en-US" w:eastAsia="zh-CN" w:bidi="ar-SA"/>
        </w:rPr>
        <w:t>（二）提高思想认识。</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各企业要充分认识开展</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高处作业安全专项整治的</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重要性和必要性，通过开展高处作业“百日”安全专项整治，切实增强员工的遵章守规的安全意识，建立健全高处作业工作的长效机制，全面加强安全管理，不断提高企业安全生产水平。</w:t>
      </w:r>
    </w:p>
    <w:p w14:paraId="4090D7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楷体_GB2312" w:hAnsi="楷体_GB2312" w:eastAsia="楷体_GB2312" w:cs="楷体_GB2312"/>
          <w:b w:val="0"/>
          <w:kern w:val="2"/>
          <w:sz w:val="32"/>
          <w:szCs w:val="32"/>
          <w:lang w:val="en-US" w:eastAsia="zh-CN" w:bidi="ar-SA"/>
        </w:rPr>
        <w:t>（三）严格执法检查。</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对高处作业“百日”安全专项整治检查发现的违法违规行为，依法进行处理，并严肃追究企业相关人员的责任。对蓄意违法违规组织生产、拒不执行监管指令等严重违法违规行为，责令停产整顿，进行曝光、通报、约谈。</w:t>
      </w:r>
    </w:p>
    <w:p w14:paraId="702E6C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 w:hAnsi="仿宋" w:eastAsia="仿宋" w:cs="仿宋"/>
          <w:color w:val="000000" w:themeColor="text1"/>
          <w:spacing w:val="0"/>
          <w:w w:val="100"/>
          <w:kern w:val="2"/>
          <w:position w:val="0"/>
          <w:sz w:val="32"/>
          <w:szCs w:val="32"/>
          <w:lang w:val="en-US" w:eastAsia="zh-CN" w:bidi="ar-SA"/>
          <w14:textFill>
            <w14:solidFill>
              <w14:schemeClr w14:val="tx1"/>
            </w14:solidFill>
          </w14:textFill>
        </w:rPr>
      </w:pPr>
    </w:p>
    <w:p w14:paraId="2C09F020">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附件：高处作业“百日”安全专项整治行动检查统计表</w:t>
      </w:r>
    </w:p>
    <w:p w14:paraId="40399A55">
      <w:pPr>
        <w:pStyle w:val="14"/>
        <w:keepNext w:val="0"/>
        <w:keepLines w:val="0"/>
        <w:pageBreakBefore w:val="0"/>
        <w:kinsoku/>
        <w:overflowPunct/>
        <w:topLinePunct w:val="0"/>
        <w:bidi w:val="0"/>
        <w:spacing w:line="560" w:lineRule="exact"/>
        <w:ind w:left="0" w:leftChars="0" w:firstLine="0" w:firstLineChars="0"/>
        <w:jc w:val="both"/>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p>
    <w:p w14:paraId="4EC12BC0">
      <w:pPr>
        <w:pStyle w:val="9"/>
        <w:keepNext w:val="0"/>
        <w:keepLines w:val="0"/>
        <w:pageBreakBefore w:val="0"/>
        <w:kinsoku/>
        <w:overflowPunct/>
        <w:topLinePunct w:val="0"/>
        <w:bidi w:val="0"/>
        <w:spacing w:line="560" w:lineRule="exact"/>
        <w:jc w:val="both"/>
        <w:rPr>
          <w:rFonts w:hint="eastAsia" w:ascii="仿宋_GB2312" w:hAnsi="仿宋_GB2312" w:eastAsia="仿宋_GB2312" w:cs="仿宋_GB2312"/>
          <w:lang w:val="en-US" w:eastAsia="zh-CN"/>
        </w:rPr>
      </w:pPr>
    </w:p>
    <w:p w14:paraId="37F3E884">
      <w:pPr>
        <w:keepNext w:val="0"/>
        <w:keepLines w:val="0"/>
        <w:pageBreakBefore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长治市上党区应急管理局</w:t>
      </w:r>
    </w:p>
    <w:p w14:paraId="1A34B3F1">
      <w:pPr>
        <w:pStyle w:val="14"/>
        <w:keepNext w:val="0"/>
        <w:keepLines w:val="0"/>
        <w:pageBreakBefore w:val="0"/>
        <w:widowControl/>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2024年8月30日</w:t>
      </w:r>
    </w:p>
    <w:p w14:paraId="64110397">
      <w:pPr>
        <w:keepNext w:val="0"/>
        <w:keepLines w:val="0"/>
        <w:pageBreakBefore w:val="0"/>
        <w:widowControl/>
        <w:suppressLineNumbers w:val="0"/>
        <w:kinsoku/>
        <w:overflowPunct/>
        <w:topLinePunct w:val="0"/>
        <w:bidi w:val="0"/>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
        </w:rPr>
        <w:sectPr>
          <w:footerReference r:id="rId3" w:type="default"/>
          <w:pgSz w:w="11906" w:h="16838"/>
          <w:pgMar w:top="1440" w:right="1800" w:bottom="1440" w:left="1800" w:header="851" w:footer="992" w:gutter="0"/>
          <w:pgNumType w:fmt="decimal" w:start="2"/>
          <w:cols w:space="0" w:num="1"/>
          <w:rtlGutter w:val="0"/>
          <w:docGrid w:type="lines" w:linePitch="312" w:charSpace="0"/>
        </w:sectPr>
      </w:pPr>
    </w:p>
    <w:p w14:paraId="2D6BB255">
      <w:pPr>
        <w:keepNext w:val="0"/>
        <w:keepLines w:val="0"/>
        <w:pageBreakBefore w:val="0"/>
        <w:widowControl/>
        <w:suppressLineNumbers w:val="0"/>
        <w:kinsoku/>
        <w:overflowPunct/>
        <w:topLinePunct w:val="0"/>
        <w:bidi w:val="0"/>
        <w:spacing w:line="560" w:lineRule="exact"/>
        <w:jc w:val="both"/>
        <w:rPr>
          <w:sz w:val="32"/>
          <w:szCs w:val="32"/>
        </w:rPr>
      </w:pPr>
      <w:r>
        <w:rPr>
          <w:rFonts w:ascii="黑体" w:hAnsi="宋体" w:eastAsia="黑体" w:cs="黑体"/>
          <w:color w:val="000000"/>
          <w:kern w:val="0"/>
          <w:sz w:val="32"/>
          <w:szCs w:val="32"/>
          <w:lang w:val="en-US" w:eastAsia="zh-CN" w:bidi="ar"/>
        </w:rPr>
        <w:t xml:space="preserve">附件 </w:t>
      </w:r>
    </w:p>
    <w:p w14:paraId="5CC7AAEC">
      <w:pPr>
        <w:keepNext w:val="0"/>
        <w:keepLines w:val="0"/>
        <w:pageBreakBefore w:val="0"/>
        <w:widowControl/>
        <w:suppressLineNumbers w:val="0"/>
        <w:kinsoku/>
        <w:wordWrap/>
        <w:overflowPunct/>
        <w:topLinePunct w:val="0"/>
        <w:autoSpaceDE/>
        <w:autoSpaceDN/>
        <w:bidi w:val="0"/>
        <w:adjustRightInd/>
        <w:snapToGrid/>
        <w:spacing w:line="560" w:lineRule="exact"/>
        <w:ind w:firstLine="1320" w:firstLineChars="300"/>
        <w:jc w:val="both"/>
        <w:textAlignment w:val="auto"/>
        <w:rPr>
          <w:rFonts w:ascii="方正小标宋简体" w:hAnsi="方正小标宋简体" w:eastAsia="方正小标宋简体" w:cs="方正小标宋简体"/>
          <w:color w:val="000000"/>
          <w:kern w:val="0"/>
          <w:sz w:val="44"/>
          <w:szCs w:val="44"/>
          <w:lang w:val="en-US" w:eastAsia="zh-CN" w:bidi="ar"/>
        </w:rPr>
      </w:pPr>
    </w:p>
    <w:p w14:paraId="6796131C">
      <w:pPr>
        <w:keepNext w:val="0"/>
        <w:keepLines w:val="0"/>
        <w:pageBreakBefore w:val="0"/>
        <w:widowControl/>
        <w:suppressLineNumbers w:val="0"/>
        <w:kinsoku/>
        <w:wordWrap/>
        <w:overflowPunct/>
        <w:topLinePunct w:val="0"/>
        <w:autoSpaceDE/>
        <w:autoSpaceDN/>
        <w:bidi w:val="0"/>
        <w:adjustRightInd/>
        <w:snapToGrid/>
        <w:spacing w:line="560" w:lineRule="exact"/>
        <w:ind w:firstLine="1320" w:firstLineChars="300"/>
        <w:jc w:val="both"/>
        <w:textAlignment w:val="auto"/>
        <w:rPr>
          <w:rFonts w:hint="eastAsia" w:ascii="仿宋" w:hAnsi="仿宋" w:eastAsia="仿宋" w:cs="仿宋"/>
          <w:spacing w:val="5"/>
          <w:sz w:val="44"/>
          <w:szCs w:val="44"/>
          <w:lang w:val="en-US" w:eastAsia="zh-CN"/>
        </w:rPr>
      </w:pPr>
      <w:r>
        <w:rPr>
          <w:rFonts w:ascii="方正小标宋简体" w:hAnsi="方正小标宋简体" w:eastAsia="方正小标宋简体" w:cs="方正小标宋简体"/>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 xml:space="preserve"> </w:t>
      </w:r>
      <w:r>
        <w:rPr>
          <w:rFonts w:ascii="方正小标宋简体" w:hAnsi="方正小标宋简体" w:eastAsia="方正小标宋简体" w:cs="方正小标宋简体"/>
          <w:color w:val="000000"/>
          <w:kern w:val="0"/>
          <w:sz w:val="44"/>
          <w:szCs w:val="44"/>
          <w:lang w:val="en-US" w:eastAsia="zh-CN" w:bidi="ar"/>
        </w:rPr>
        <w:t>）月高处作业“百日”安全专项整治行动检查统计表</w:t>
      </w:r>
    </w:p>
    <w:tbl>
      <w:tblPr>
        <w:tblStyle w:val="11"/>
        <w:tblW w:w="1353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446"/>
        <w:gridCol w:w="1461"/>
        <w:gridCol w:w="1466"/>
        <w:gridCol w:w="1650"/>
        <w:gridCol w:w="1484"/>
        <w:gridCol w:w="1033"/>
        <w:gridCol w:w="967"/>
        <w:gridCol w:w="933"/>
        <w:gridCol w:w="1417"/>
      </w:tblGrid>
      <w:tr w14:paraId="7981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Merge w:val="restart"/>
            <w:noWrap w:val="0"/>
            <w:vAlign w:val="center"/>
          </w:tcPr>
          <w:p w14:paraId="53B784AD">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出动检查组</w:t>
            </w:r>
          </w:p>
          <w:p w14:paraId="14D60714">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（个）</w:t>
            </w:r>
          </w:p>
        </w:tc>
        <w:tc>
          <w:tcPr>
            <w:tcW w:w="1446" w:type="dxa"/>
            <w:vMerge w:val="restart"/>
            <w:noWrap w:val="0"/>
            <w:vAlign w:val="center"/>
          </w:tcPr>
          <w:p w14:paraId="6C93DACA">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检查企业或项目</w:t>
            </w:r>
          </w:p>
          <w:p w14:paraId="6716DAAF">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（个）</w:t>
            </w:r>
          </w:p>
        </w:tc>
        <w:tc>
          <w:tcPr>
            <w:tcW w:w="2927" w:type="dxa"/>
            <w:gridSpan w:val="2"/>
            <w:noWrap w:val="0"/>
            <w:vAlign w:val="center"/>
          </w:tcPr>
          <w:p w14:paraId="1E4AE6C9">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发现隐患（条）</w:t>
            </w:r>
          </w:p>
          <w:p w14:paraId="5CD52ADE">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其中：</w:t>
            </w:r>
          </w:p>
        </w:tc>
        <w:tc>
          <w:tcPr>
            <w:tcW w:w="3134" w:type="dxa"/>
            <w:gridSpan w:val="2"/>
            <w:noWrap w:val="0"/>
            <w:vAlign w:val="center"/>
          </w:tcPr>
          <w:p w14:paraId="16C1650A">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已整改隐患（条）</w:t>
            </w:r>
          </w:p>
          <w:p w14:paraId="10048ED1">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其中：</w:t>
            </w:r>
          </w:p>
        </w:tc>
        <w:tc>
          <w:tcPr>
            <w:tcW w:w="2933" w:type="dxa"/>
            <w:gridSpan w:val="3"/>
            <w:noWrap w:val="0"/>
            <w:vAlign w:val="center"/>
          </w:tcPr>
          <w:p w14:paraId="0E3DCA0A">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立案查处（个）</w:t>
            </w:r>
          </w:p>
        </w:tc>
        <w:tc>
          <w:tcPr>
            <w:tcW w:w="1417" w:type="dxa"/>
            <w:vMerge w:val="restart"/>
            <w:noWrap w:val="0"/>
            <w:vAlign w:val="center"/>
          </w:tcPr>
          <w:p w14:paraId="686475BC">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事故提级调查</w:t>
            </w:r>
          </w:p>
          <w:p w14:paraId="64E61169">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（起）</w:t>
            </w:r>
          </w:p>
        </w:tc>
      </w:tr>
      <w:tr w14:paraId="63BD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677" w:type="dxa"/>
            <w:vMerge w:val="continue"/>
            <w:noWrap w:val="0"/>
            <w:vAlign w:val="center"/>
          </w:tcPr>
          <w:p w14:paraId="691B97FA">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446" w:type="dxa"/>
            <w:vMerge w:val="continue"/>
            <w:noWrap w:val="0"/>
            <w:vAlign w:val="center"/>
          </w:tcPr>
          <w:p w14:paraId="26A0A1B5">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461" w:type="dxa"/>
            <w:noWrap w:val="0"/>
            <w:vAlign w:val="center"/>
          </w:tcPr>
          <w:p w14:paraId="62AA0B27">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一般隐患</w:t>
            </w:r>
          </w:p>
          <w:p w14:paraId="796CFD20">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（条）</w:t>
            </w:r>
          </w:p>
        </w:tc>
        <w:tc>
          <w:tcPr>
            <w:tcW w:w="1466" w:type="dxa"/>
            <w:noWrap w:val="0"/>
            <w:vAlign w:val="center"/>
          </w:tcPr>
          <w:p w14:paraId="2B389ACE">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重大隐患</w:t>
            </w:r>
          </w:p>
          <w:p w14:paraId="68775F13">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（条）</w:t>
            </w:r>
          </w:p>
        </w:tc>
        <w:tc>
          <w:tcPr>
            <w:tcW w:w="1650" w:type="dxa"/>
            <w:noWrap w:val="0"/>
            <w:vAlign w:val="center"/>
          </w:tcPr>
          <w:p w14:paraId="1622FC1B">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一般隐患</w:t>
            </w:r>
          </w:p>
          <w:p w14:paraId="4167046E">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（条）</w:t>
            </w:r>
          </w:p>
        </w:tc>
        <w:tc>
          <w:tcPr>
            <w:tcW w:w="1484" w:type="dxa"/>
            <w:noWrap w:val="0"/>
            <w:vAlign w:val="center"/>
          </w:tcPr>
          <w:p w14:paraId="4C4A4323">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重大隐患</w:t>
            </w:r>
          </w:p>
          <w:p w14:paraId="173853F6">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（条）</w:t>
            </w:r>
          </w:p>
        </w:tc>
        <w:tc>
          <w:tcPr>
            <w:tcW w:w="1033" w:type="dxa"/>
            <w:noWrap w:val="0"/>
            <w:vAlign w:val="center"/>
          </w:tcPr>
          <w:p w14:paraId="48FEFDE5">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追责</w:t>
            </w:r>
          </w:p>
          <w:p w14:paraId="32C81430">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问责</w:t>
            </w:r>
          </w:p>
        </w:tc>
        <w:tc>
          <w:tcPr>
            <w:tcW w:w="967" w:type="dxa"/>
            <w:noWrap w:val="0"/>
            <w:vAlign w:val="center"/>
          </w:tcPr>
          <w:p w14:paraId="6DFFFD21">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公开</w:t>
            </w:r>
          </w:p>
          <w:p w14:paraId="22D8B09A">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曝光</w:t>
            </w:r>
          </w:p>
        </w:tc>
        <w:tc>
          <w:tcPr>
            <w:tcW w:w="933" w:type="dxa"/>
            <w:noWrap w:val="0"/>
            <w:vAlign w:val="center"/>
          </w:tcPr>
          <w:p w14:paraId="65BE47F2">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一案</w:t>
            </w:r>
          </w:p>
          <w:p w14:paraId="3833B496">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r>
              <w:rPr>
                <w:rFonts w:hint="eastAsia" w:ascii="黑体" w:hAnsi="黑体" w:eastAsia="黑体" w:cs="黑体"/>
                <w:color w:val="000000"/>
                <w:kern w:val="0"/>
                <w:sz w:val="28"/>
                <w:szCs w:val="28"/>
                <w:lang w:val="en-US" w:eastAsia="zh-CN" w:bidi="ar"/>
              </w:rPr>
              <w:t>双罚</w:t>
            </w:r>
          </w:p>
        </w:tc>
        <w:tc>
          <w:tcPr>
            <w:tcW w:w="1417" w:type="dxa"/>
            <w:vMerge w:val="continue"/>
            <w:noWrap w:val="0"/>
            <w:vAlign w:val="center"/>
          </w:tcPr>
          <w:p w14:paraId="143CB814">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r>
      <w:tr w14:paraId="6697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677" w:type="dxa"/>
            <w:noWrap w:val="0"/>
            <w:vAlign w:val="center"/>
          </w:tcPr>
          <w:p w14:paraId="04E0CE1B">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446" w:type="dxa"/>
            <w:noWrap w:val="0"/>
            <w:vAlign w:val="center"/>
          </w:tcPr>
          <w:p w14:paraId="6311EF47">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461" w:type="dxa"/>
            <w:noWrap w:val="0"/>
            <w:vAlign w:val="center"/>
          </w:tcPr>
          <w:p w14:paraId="6F5B0AC6">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466" w:type="dxa"/>
            <w:noWrap w:val="0"/>
            <w:vAlign w:val="center"/>
          </w:tcPr>
          <w:p w14:paraId="1A2F9BE8">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650" w:type="dxa"/>
            <w:noWrap w:val="0"/>
            <w:vAlign w:val="center"/>
          </w:tcPr>
          <w:p w14:paraId="3DEC8BB5">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484" w:type="dxa"/>
            <w:noWrap w:val="0"/>
            <w:vAlign w:val="center"/>
          </w:tcPr>
          <w:p w14:paraId="06702E44">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033" w:type="dxa"/>
            <w:noWrap w:val="0"/>
            <w:vAlign w:val="center"/>
          </w:tcPr>
          <w:p w14:paraId="1C94D176">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967" w:type="dxa"/>
            <w:noWrap w:val="0"/>
            <w:vAlign w:val="center"/>
          </w:tcPr>
          <w:p w14:paraId="3B9199B5">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933" w:type="dxa"/>
            <w:noWrap w:val="0"/>
            <w:vAlign w:val="center"/>
          </w:tcPr>
          <w:p w14:paraId="75DE5135">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c>
          <w:tcPr>
            <w:tcW w:w="1417" w:type="dxa"/>
            <w:noWrap w:val="0"/>
            <w:vAlign w:val="center"/>
          </w:tcPr>
          <w:p w14:paraId="0D777295">
            <w:pPr>
              <w:pStyle w:val="5"/>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5"/>
                <w:sz w:val="28"/>
                <w:szCs w:val="28"/>
                <w:vertAlign w:val="baseline"/>
                <w:lang w:val="en-US" w:eastAsia="zh-CN"/>
              </w:rPr>
            </w:pPr>
          </w:p>
        </w:tc>
      </w:tr>
    </w:tbl>
    <w:p w14:paraId="37BDC24B">
      <w:pPr>
        <w:keepNext w:val="0"/>
        <w:keepLines w:val="0"/>
        <w:pageBreakBefore w:val="0"/>
        <w:widowControl/>
        <w:suppressLineNumbers w:val="0"/>
        <w:kinsoku/>
        <w:wordWrap/>
        <w:overflowPunct/>
        <w:topLinePunct w:val="0"/>
        <w:autoSpaceDE/>
        <w:autoSpaceDN/>
        <w:bidi w:val="0"/>
        <w:adjustRightInd/>
        <w:spacing w:line="560" w:lineRule="exact"/>
        <w:jc w:val="both"/>
        <w:textAlignment w:val="auto"/>
        <w:rPr>
          <w:rFonts w:hint="eastAsia"/>
          <w:lang w:val="en-US" w:eastAsia="zh-CN"/>
        </w:rPr>
      </w:pPr>
      <w:r>
        <w:rPr>
          <w:rFonts w:hint="eastAsia" w:ascii="黑体" w:hAnsi="黑体" w:eastAsia="黑体" w:cs="黑体"/>
          <w:color w:val="000000"/>
          <w:kern w:val="0"/>
          <w:sz w:val="28"/>
          <w:szCs w:val="28"/>
          <w:lang w:val="en-US" w:eastAsia="zh-CN" w:bidi="ar"/>
        </w:rPr>
        <w:t>填报单位：                                                             填报时间：</w:t>
      </w:r>
    </w:p>
    <w:sectPr>
      <w:footerReference r:id="rId4" w:type="default"/>
      <w:pgSz w:w="16838" w:h="11906" w:orient="landscape"/>
      <w:pgMar w:top="1800" w:right="1440" w:bottom="1800" w:left="217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360D16-A368-4FC2-8649-9ABF824A38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embedRegular r:id="rId2" w:fontKey="{9D6F7A66-9C53-494F-8D68-CBEC70923221}"/>
  </w:font>
  <w:font w:name="仿宋_GB2312">
    <w:panose1 w:val="02010609030101010101"/>
    <w:charset w:val="86"/>
    <w:family w:val="auto"/>
    <w:pitch w:val="default"/>
    <w:sig w:usb0="00000001" w:usb1="080E0000" w:usb2="00000000" w:usb3="00000000" w:csb0="00040000" w:csb1="00000000"/>
    <w:embedRegular r:id="rId3" w:fontKey="{D435ECE8-3B21-4498-A60C-5E537E1B6EF8}"/>
  </w:font>
  <w:font w:name="方正小标宋简体">
    <w:panose1 w:val="03000509000000000000"/>
    <w:charset w:val="86"/>
    <w:family w:val="auto"/>
    <w:pitch w:val="default"/>
    <w:sig w:usb0="00000001" w:usb1="080E0000" w:usb2="00000000" w:usb3="00000000" w:csb0="00040000" w:csb1="00000000"/>
    <w:embedRegular r:id="rId4" w:fontKey="{1E538C74-5026-4433-BE16-A280C11C5F1C}"/>
  </w:font>
  <w:font w:name="楷体">
    <w:panose1 w:val="02010609060101010101"/>
    <w:charset w:val="86"/>
    <w:family w:val="auto"/>
    <w:pitch w:val="default"/>
    <w:sig w:usb0="800002BF" w:usb1="38CF7CFA" w:usb2="00000016" w:usb3="00000000" w:csb0="00040001" w:csb1="00000000"/>
    <w:embedRegular r:id="rId5" w:fontKey="{50A62D89-DF14-4729-A148-FBEAF0AB0A1F}"/>
  </w:font>
  <w:font w:name="楷体_GB2312">
    <w:altName w:val="楷体"/>
    <w:panose1 w:val="02010609030101010101"/>
    <w:charset w:val="86"/>
    <w:family w:val="auto"/>
    <w:pitch w:val="default"/>
    <w:sig w:usb0="00000000" w:usb1="00000000" w:usb2="00000000" w:usb3="00000000" w:csb0="00040000" w:csb1="00000000"/>
    <w:embedRegular r:id="rId6" w:fontKey="{072E2787-0FE7-4332-AAA0-6F2E031AC4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5D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9B39">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F99B39">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D21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82569">
                          <w:pPr>
                            <w:pStyle w:val="7"/>
                            <w:rPr>
                              <w:rFonts w:hint="eastAsia" w:eastAsia="宋体"/>
                              <w:lang w:val="en-US" w:eastAsia="zh-CN"/>
                            </w:rPr>
                          </w:pP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982569">
                    <w:pPr>
                      <w:pStyle w:val="7"/>
                      <w:rPr>
                        <w:rFonts w:hint="eastAsia" w:eastAsia="宋体"/>
                        <w:lang w:val="en-US" w:eastAsia="zh-CN"/>
                      </w:rPr>
                    </w:pPr>
                    <w:r>
                      <w:rPr>
                        <w:rFonts w:hint="eastAsia"/>
                        <w:lang w:val="en-US" w:eastAsia="zh-CN"/>
                      </w:rPr>
                      <w:t>9</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mFhYTUwZjExZDlkODVkZDYzMGJkMTU2OGU0NWUifQ=="/>
  </w:docVars>
  <w:rsids>
    <w:rsidRoot w:val="00000000"/>
    <w:rsid w:val="001973C3"/>
    <w:rsid w:val="00245594"/>
    <w:rsid w:val="005319D6"/>
    <w:rsid w:val="009E5347"/>
    <w:rsid w:val="00A51853"/>
    <w:rsid w:val="00AC7D5E"/>
    <w:rsid w:val="00B72F5B"/>
    <w:rsid w:val="00CD3FA8"/>
    <w:rsid w:val="00DD674B"/>
    <w:rsid w:val="019C4418"/>
    <w:rsid w:val="01AC5842"/>
    <w:rsid w:val="01B6221C"/>
    <w:rsid w:val="01BF6321"/>
    <w:rsid w:val="01EE4B13"/>
    <w:rsid w:val="022A38B8"/>
    <w:rsid w:val="023B3B56"/>
    <w:rsid w:val="024A6667"/>
    <w:rsid w:val="02581525"/>
    <w:rsid w:val="02C72C92"/>
    <w:rsid w:val="02E501FA"/>
    <w:rsid w:val="031424F5"/>
    <w:rsid w:val="035868AD"/>
    <w:rsid w:val="03795BF7"/>
    <w:rsid w:val="03891096"/>
    <w:rsid w:val="03A34F10"/>
    <w:rsid w:val="03AE1405"/>
    <w:rsid w:val="03D11654"/>
    <w:rsid w:val="03D80A20"/>
    <w:rsid w:val="03DA412B"/>
    <w:rsid w:val="03EB204E"/>
    <w:rsid w:val="03FB1CE8"/>
    <w:rsid w:val="046B0482"/>
    <w:rsid w:val="04961922"/>
    <w:rsid w:val="049D6916"/>
    <w:rsid w:val="04A638CA"/>
    <w:rsid w:val="04D32C39"/>
    <w:rsid w:val="04FE4606"/>
    <w:rsid w:val="050444D9"/>
    <w:rsid w:val="050E1895"/>
    <w:rsid w:val="051022BD"/>
    <w:rsid w:val="05102A7C"/>
    <w:rsid w:val="05202D5A"/>
    <w:rsid w:val="05375AFB"/>
    <w:rsid w:val="05834BB2"/>
    <w:rsid w:val="058760ED"/>
    <w:rsid w:val="05AA5911"/>
    <w:rsid w:val="05E80E12"/>
    <w:rsid w:val="06102BE4"/>
    <w:rsid w:val="06283DAE"/>
    <w:rsid w:val="06361B7E"/>
    <w:rsid w:val="06540256"/>
    <w:rsid w:val="067A5F0E"/>
    <w:rsid w:val="06AD49D3"/>
    <w:rsid w:val="06B50CF4"/>
    <w:rsid w:val="06D33870"/>
    <w:rsid w:val="072D2F81"/>
    <w:rsid w:val="0730481F"/>
    <w:rsid w:val="07A0147A"/>
    <w:rsid w:val="07A37B8D"/>
    <w:rsid w:val="07A80859"/>
    <w:rsid w:val="08043BC7"/>
    <w:rsid w:val="080F2686"/>
    <w:rsid w:val="085B40AD"/>
    <w:rsid w:val="08602EE2"/>
    <w:rsid w:val="08934D85"/>
    <w:rsid w:val="08D4222A"/>
    <w:rsid w:val="09084EF6"/>
    <w:rsid w:val="092B1742"/>
    <w:rsid w:val="09360586"/>
    <w:rsid w:val="094F3649"/>
    <w:rsid w:val="095D36D2"/>
    <w:rsid w:val="09722ECD"/>
    <w:rsid w:val="0A4F38B6"/>
    <w:rsid w:val="0A592132"/>
    <w:rsid w:val="0A5F5577"/>
    <w:rsid w:val="0A6631B9"/>
    <w:rsid w:val="0A694DBF"/>
    <w:rsid w:val="0A7303DA"/>
    <w:rsid w:val="0A804F3F"/>
    <w:rsid w:val="0A915B42"/>
    <w:rsid w:val="0A927E67"/>
    <w:rsid w:val="0AB15C77"/>
    <w:rsid w:val="0ABA2D7D"/>
    <w:rsid w:val="0AD028F9"/>
    <w:rsid w:val="0AD7279E"/>
    <w:rsid w:val="0AEE023D"/>
    <w:rsid w:val="0B204BAA"/>
    <w:rsid w:val="0B792C38"/>
    <w:rsid w:val="0B7D3DAB"/>
    <w:rsid w:val="0B9C4792"/>
    <w:rsid w:val="0BE7173C"/>
    <w:rsid w:val="0BEA206B"/>
    <w:rsid w:val="0C252478"/>
    <w:rsid w:val="0C3139AD"/>
    <w:rsid w:val="0C82388B"/>
    <w:rsid w:val="0CAE1672"/>
    <w:rsid w:val="0CB66656"/>
    <w:rsid w:val="0CB87790"/>
    <w:rsid w:val="0CD8398F"/>
    <w:rsid w:val="0D116EA1"/>
    <w:rsid w:val="0D364B09"/>
    <w:rsid w:val="0D431D9A"/>
    <w:rsid w:val="0D4C237E"/>
    <w:rsid w:val="0D553231"/>
    <w:rsid w:val="0D9D0734"/>
    <w:rsid w:val="0DA73361"/>
    <w:rsid w:val="0DE95727"/>
    <w:rsid w:val="0E1C5AFD"/>
    <w:rsid w:val="0E527771"/>
    <w:rsid w:val="0E603C3C"/>
    <w:rsid w:val="0E6B09C3"/>
    <w:rsid w:val="0E7D78A0"/>
    <w:rsid w:val="0E847883"/>
    <w:rsid w:val="0EE35642"/>
    <w:rsid w:val="0EFD4BB4"/>
    <w:rsid w:val="0F1E7653"/>
    <w:rsid w:val="0F2C7FC2"/>
    <w:rsid w:val="0F334806"/>
    <w:rsid w:val="0F4108EA"/>
    <w:rsid w:val="0F7C2CF7"/>
    <w:rsid w:val="0F825C2E"/>
    <w:rsid w:val="0F985657"/>
    <w:rsid w:val="0FA20284"/>
    <w:rsid w:val="0FC0293B"/>
    <w:rsid w:val="0FDD306A"/>
    <w:rsid w:val="0FE4089C"/>
    <w:rsid w:val="0FEE31C5"/>
    <w:rsid w:val="0FF27E31"/>
    <w:rsid w:val="0FFC5BE6"/>
    <w:rsid w:val="0FFFB300"/>
    <w:rsid w:val="10065FA8"/>
    <w:rsid w:val="100B3384"/>
    <w:rsid w:val="10262C63"/>
    <w:rsid w:val="10433446"/>
    <w:rsid w:val="109B5A5A"/>
    <w:rsid w:val="110936C1"/>
    <w:rsid w:val="110F36F7"/>
    <w:rsid w:val="11387C6E"/>
    <w:rsid w:val="118D1C2E"/>
    <w:rsid w:val="11987FE8"/>
    <w:rsid w:val="119A390A"/>
    <w:rsid w:val="11B86F36"/>
    <w:rsid w:val="11BF336F"/>
    <w:rsid w:val="11E15093"/>
    <w:rsid w:val="120314AE"/>
    <w:rsid w:val="121E016C"/>
    <w:rsid w:val="12394ECF"/>
    <w:rsid w:val="124F0718"/>
    <w:rsid w:val="12507B68"/>
    <w:rsid w:val="125C296C"/>
    <w:rsid w:val="128A2A9F"/>
    <w:rsid w:val="12A733C0"/>
    <w:rsid w:val="12AD1419"/>
    <w:rsid w:val="12E37917"/>
    <w:rsid w:val="12E94598"/>
    <w:rsid w:val="12F061C8"/>
    <w:rsid w:val="13125D93"/>
    <w:rsid w:val="13135720"/>
    <w:rsid w:val="1339537F"/>
    <w:rsid w:val="135D4BEE"/>
    <w:rsid w:val="136C3083"/>
    <w:rsid w:val="13877EBC"/>
    <w:rsid w:val="13946135"/>
    <w:rsid w:val="13B07048"/>
    <w:rsid w:val="13FB4A79"/>
    <w:rsid w:val="140603E8"/>
    <w:rsid w:val="141F00F5"/>
    <w:rsid w:val="145D29CB"/>
    <w:rsid w:val="14942891"/>
    <w:rsid w:val="14997EA7"/>
    <w:rsid w:val="14A16D5C"/>
    <w:rsid w:val="14A57781"/>
    <w:rsid w:val="14AF1479"/>
    <w:rsid w:val="14B8473E"/>
    <w:rsid w:val="14BC3B96"/>
    <w:rsid w:val="14D507B4"/>
    <w:rsid w:val="14D57DF1"/>
    <w:rsid w:val="14F52B4F"/>
    <w:rsid w:val="14F72E20"/>
    <w:rsid w:val="150E69A3"/>
    <w:rsid w:val="152F52D7"/>
    <w:rsid w:val="154B7AC9"/>
    <w:rsid w:val="15820D80"/>
    <w:rsid w:val="158C0C53"/>
    <w:rsid w:val="15BD5050"/>
    <w:rsid w:val="15BF2FBD"/>
    <w:rsid w:val="15CC1BB7"/>
    <w:rsid w:val="15FE58AF"/>
    <w:rsid w:val="162522E8"/>
    <w:rsid w:val="16351E52"/>
    <w:rsid w:val="163938D5"/>
    <w:rsid w:val="16431F4D"/>
    <w:rsid w:val="164E1CEA"/>
    <w:rsid w:val="165879B7"/>
    <w:rsid w:val="165C685C"/>
    <w:rsid w:val="166149F5"/>
    <w:rsid w:val="16863DA3"/>
    <w:rsid w:val="168801D3"/>
    <w:rsid w:val="169F28C0"/>
    <w:rsid w:val="16A04366"/>
    <w:rsid w:val="16A13043"/>
    <w:rsid w:val="16B74615"/>
    <w:rsid w:val="16BB3FC2"/>
    <w:rsid w:val="16D8479A"/>
    <w:rsid w:val="178F0063"/>
    <w:rsid w:val="183028D1"/>
    <w:rsid w:val="183E3287"/>
    <w:rsid w:val="18A60DE5"/>
    <w:rsid w:val="18AE7C99"/>
    <w:rsid w:val="18C11D1D"/>
    <w:rsid w:val="18D72D4C"/>
    <w:rsid w:val="192B23CE"/>
    <w:rsid w:val="19573E8D"/>
    <w:rsid w:val="19640F3E"/>
    <w:rsid w:val="19C97A39"/>
    <w:rsid w:val="19ED659F"/>
    <w:rsid w:val="19F8573E"/>
    <w:rsid w:val="1A025CA7"/>
    <w:rsid w:val="1A0933D9"/>
    <w:rsid w:val="1A122446"/>
    <w:rsid w:val="1A240213"/>
    <w:rsid w:val="1A3B37AF"/>
    <w:rsid w:val="1A5A3C35"/>
    <w:rsid w:val="1A755B73"/>
    <w:rsid w:val="1A763F5C"/>
    <w:rsid w:val="1A801941"/>
    <w:rsid w:val="1A893CE5"/>
    <w:rsid w:val="1ABA2925"/>
    <w:rsid w:val="1ACC631F"/>
    <w:rsid w:val="1ACE017F"/>
    <w:rsid w:val="1AE16B75"/>
    <w:rsid w:val="1AE31856"/>
    <w:rsid w:val="1AF44696"/>
    <w:rsid w:val="1B0342CC"/>
    <w:rsid w:val="1B291A3B"/>
    <w:rsid w:val="1B4F12C0"/>
    <w:rsid w:val="1B882A24"/>
    <w:rsid w:val="1BC36DF1"/>
    <w:rsid w:val="1C33467B"/>
    <w:rsid w:val="1C38451D"/>
    <w:rsid w:val="1C3C7537"/>
    <w:rsid w:val="1C591FE6"/>
    <w:rsid w:val="1CB25FAA"/>
    <w:rsid w:val="1CB32C72"/>
    <w:rsid w:val="1CB515F6"/>
    <w:rsid w:val="1CCB73CC"/>
    <w:rsid w:val="1D3F5364"/>
    <w:rsid w:val="1DB23D88"/>
    <w:rsid w:val="1DBA2C3C"/>
    <w:rsid w:val="1DC338B9"/>
    <w:rsid w:val="1DCF10E9"/>
    <w:rsid w:val="1DD331AA"/>
    <w:rsid w:val="1DE859FC"/>
    <w:rsid w:val="1E3D10C6"/>
    <w:rsid w:val="1E4075E6"/>
    <w:rsid w:val="1E537319"/>
    <w:rsid w:val="1E673ED5"/>
    <w:rsid w:val="1E6A4849"/>
    <w:rsid w:val="1E6C675C"/>
    <w:rsid w:val="1E747E8A"/>
    <w:rsid w:val="1E870D71"/>
    <w:rsid w:val="1E8D7F53"/>
    <w:rsid w:val="1EAB4079"/>
    <w:rsid w:val="1EAC4C7B"/>
    <w:rsid w:val="1EFD0DD9"/>
    <w:rsid w:val="1F096272"/>
    <w:rsid w:val="1F0E3240"/>
    <w:rsid w:val="1F1C67FA"/>
    <w:rsid w:val="1F3F1838"/>
    <w:rsid w:val="1F542020"/>
    <w:rsid w:val="1F983EB0"/>
    <w:rsid w:val="1F9A2D26"/>
    <w:rsid w:val="1FAF67D1"/>
    <w:rsid w:val="1FC55FF4"/>
    <w:rsid w:val="1FE83A91"/>
    <w:rsid w:val="1FEA7809"/>
    <w:rsid w:val="1FF664B9"/>
    <w:rsid w:val="1FFB1A16"/>
    <w:rsid w:val="20166850"/>
    <w:rsid w:val="20281A03"/>
    <w:rsid w:val="20475D12"/>
    <w:rsid w:val="205904EB"/>
    <w:rsid w:val="209D136C"/>
    <w:rsid w:val="20B30ABE"/>
    <w:rsid w:val="20E73D48"/>
    <w:rsid w:val="21026BEC"/>
    <w:rsid w:val="210368D4"/>
    <w:rsid w:val="2115138E"/>
    <w:rsid w:val="212660EA"/>
    <w:rsid w:val="212B00D9"/>
    <w:rsid w:val="212E3031"/>
    <w:rsid w:val="21313216"/>
    <w:rsid w:val="213F5933"/>
    <w:rsid w:val="21582E98"/>
    <w:rsid w:val="21793AA4"/>
    <w:rsid w:val="217D1AA4"/>
    <w:rsid w:val="218872DA"/>
    <w:rsid w:val="21B44A70"/>
    <w:rsid w:val="21B856E5"/>
    <w:rsid w:val="220D56F9"/>
    <w:rsid w:val="22266AF2"/>
    <w:rsid w:val="22853819"/>
    <w:rsid w:val="22E32245"/>
    <w:rsid w:val="22E36792"/>
    <w:rsid w:val="23011E06"/>
    <w:rsid w:val="230230BC"/>
    <w:rsid w:val="23074BDB"/>
    <w:rsid w:val="231A6657"/>
    <w:rsid w:val="232A4C19"/>
    <w:rsid w:val="233314C7"/>
    <w:rsid w:val="237C2E6E"/>
    <w:rsid w:val="23B56380"/>
    <w:rsid w:val="23EF3956"/>
    <w:rsid w:val="23FA3CAA"/>
    <w:rsid w:val="240557D8"/>
    <w:rsid w:val="240750B8"/>
    <w:rsid w:val="240A66CC"/>
    <w:rsid w:val="241906BD"/>
    <w:rsid w:val="24250F9B"/>
    <w:rsid w:val="242D46EE"/>
    <w:rsid w:val="243515CA"/>
    <w:rsid w:val="24822706"/>
    <w:rsid w:val="248F6BD1"/>
    <w:rsid w:val="24D171E9"/>
    <w:rsid w:val="24ED38F7"/>
    <w:rsid w:val="24FD7771"/>
    <w:rsid w:val="250732A1"/>
    <w:rsid w:val="254277A6"/>
    <w:rsid w:val="255A0C9E"/>
    <w:rsid w:val="256F255E"/>
    <w:rsid w:val="25950E63"/>
    <w:rsid w:val="25B06284"/>
    <w:rsid w:val="25C34F4D"/>
    <w:rsid w:val="25D1761E"/>
    <w:rsid w:val="26281044"/>
    <w:rsid w:val="262C78E7"/>
    <w:rsid w:val="26A1499A"/>
    <w:rsid w:val="26B52033"/>
    <w:rsid w:val="26C62652"/>
    <w:rsid w:val="26CD6050"/>
    <w:rsid w:val="26FF13F0"/>
    <w:rsid w:val="27457A1B"/>
    <w:rsid w:val="27713610"/>
    <w:rsid w:val="2799047A"/>
    <w:rsid w:val="27AB3D22"/>
    <w:rsid w:val="282835C4"/>
    <w:rsid w:val="282F380E"/>
    <w:rsid w:val="28304227"/>
    <w:rsid w:val="289329EA"/>
    <w:rsid w:val="2903193C"/>
    <w:rsid w:val="29332221"/>
    <w:rsid w:val="29480620"/>
    <w:rsid w:val="296543A4"/>
    <w:rsid w:val="299333F6"/>
    <w:rsid w:val="29A21154"/>
    <w:rsid w:val="29AC0680"/>
    <w:rsid w:val="29B94880"/>
    <w:rsid w:val="29C70BBB"/>
    <w:rsid w:val="29CD5E21"/>
    <w:rsid w:val="29DC77D4"/>
    <w:rsid w:val="2A0F00F5"/>
    <w:rsid w:val="2A4346E5"/>
    <w:rsid w:val="2A6428AE"/>
    <w:rsid w:val="2A826108"/>
    <w:rsid w:val="2A8E729C"/>
    <w:rsid w:val="2AAD1B5F"/>
    <w:rsid w:val="2AC90C1B"/>
    <w:rsid w:val="2ACF3032"/>
    <w:rsid w:val="2AD24279"/>
    <w:rsid w:val="2AEB3FAE"/>
    <w:rsid w:val="2AEC2197"/>
    <w:rsid w:val="2B0B53DE"/>
    <w:rsid w:val="2B7B7EAF"/>
    <w:rsid w:val="2B9C5127"/>
    <w:rsid w:val="2BA246D3"/>
    <w:rsid w:val="2BD650E5"/>
    <w:rsid w:val="2C061C0A"/>
    <w:rsid w:val="2C1A76C8"/>
    <w:rsid w:val="2C7951EE"/>
    <w:rsid w:val="2C8A2603"/>
    <w:rsid w:val="2CA561BD"/>
    <w:rsid w:val="2CAB6D27"/>
    <w:rsid w:val="2CBF201D"/>
    <w:rsid w:val="2CD24FEE"/>
    <w:rsid w:val="2CE22675"/>
    <w:rsid w:val="2CFC3E11"/>
    <w:rsid w:val="2D3622E0"/>
    <w:rsid w:val="2D3C0C1C"/>
    <w:rsid w:val="2D575626"/>
    <w:rsid w:val="2D6B6470"/>
    <w:rsid w:val="2D962D7E"/>
    <w:rsid w:val="2D9E60D7"/>
    <w:rsid w:val="2DE231C7"/>
    <w:rsid w:val="2E6E3B96"/>
    <w:rsid w:val="2E9D013C"/>
    <w:rsid w:val="2F0622F8"/>
    <w:rsid w:val="2F087CAC"/>
    <w:rsid w:val="2F2B1A7F"/>
    <w:rsid w:val="2F31607D"/>
    <w:rsid w:val="2F4176C0"/>
    <w:rsid w:val="2F5F062F"/>
    <w:rsid w:val="2F6E2988"/>
    <w:rsid w:val="2F7E622F"/>
    <w:rsid w:val="2F8530AA"/>
    <w:rsid w:val="2F8F2622"/>
    <w:rsid w:val="2F990904"/>
    <w:rsid w:val="2FAA2A57"/>
    <w:rsid w:val="2FC20FF9"/>
    <w:rsid w:val="2FC82755"/>
    <w:rsid w:val="2FD7142C"/>
    <w:rsid w:val="2FFB3326"/>
    <w:rsid w:val="30731155"/>
    <w:rsid w:val="308E68EF"/>
    <w:rsid w:val="309D2676"/>
    <w:rsid w:val="30A8689F"/>
    <w:rsid w:val="30AB4D93"/>
    <w:rsid w:val="30B41D4E"/>
    <w:rsid w:val="30D2247F"/>
    <w:rsid w:val="30D62631"/>
    <w:rsid w:val="30DC090F"/>
    <w:rsid w:val="31530BE6"/>
    <w:rsid w:val="31626949"/>
    <w:rsid w:val="3172765E"/>
    <w:rsid w:val="31794E91"/>
    <w:rsid w:val="318A4769"/>
    <w:rsid w:val="319B5923"/>
    <w:rsid w:val="31D0494A"/>
    <w:rsid w:val="31D76878"/>
    <w:rsid w:val="320876B2"/>
    <w:rsid w:val="32124A96"/>
    <w:rsid w:val="32DA342A"/>
    <w:rsid w:val="330106D3"/>
    <w:rsid w:val="33072028"/>
    <w:rsid w:val="330E59F5"/>
    <w:rsid w:val="33562368"/>
    <w:rsid w:val="34142C4F"/>
    <w:rsid w:val="342B06AB"/>
    <w:rsid w:val="342F5CDB"/>
    <w:rsid w:val="34930017"/>
    <w:rsid w:val="34A55F9D"/>
    <w:rsid w:val="34EC1343"/>
    <w:rsid w:val="34FD36E3"/>
    <w:rsid w:val="35044001"/>
    <w:rsid w:val="35226B97"/>
    <w:rsid w:val="35427279"/>
    <w:rsid w:val="355A0B35"/>
    <w:rsid w:val="35FE7713"/>
    <w:rsid w:val="36202F96"/>
    <w:rsid w:val="36910587"/>
    <w:rsid w:val="36B92349"/>
    <w:rsid w:val="36BC6F7C"/>
    <w:rsid w:val="36BF03AC"/>
    <w:rsid w:val="36C52ABB"/>
    <w:rsid w:val="36EF6884"/>
    <w:rsid w:val="371A67CE"/>
    <w:rsid w:val="372431A9"/>
    <w:rsid w:val="378A2431"/>
    <w:rsid w:val="379D2F5B"/>
    <w:rsid w:val="37ED7F2D"/>
    <w:rsid w:val="37FE0FAA"/>
    <w:rsid w:val="3805122C"/>
    <w:rsid w:val="38197CEF"/>
    <w:rsid w:val="381E0322"/>
    <w:rsid w:val="38303DCF"/>
    <w:rsid w:val="38517C12"/>
    <w:rsid w:val="3888613F"/>
    <w:rsid w:val="38A619E4"/>
    <w:rsid w:val="3905525C"/>
    <w:rsid w:val="390B3309"/>
    <w:rsid w:val="390C2146"/>
    <w:rsid w:val="39256578"/>
    <w:rsid w:val="39505323"/>
    <w:rsid w:val="395D38A2"/>
    <w:rsid w:val="398038E0"/>
    <w:rsid w:val="39916AF0"/>
    <w:rsid w:val="39A700C1"/>
    <w:rsid w:val="39B52EC9"/>
    <w:rsid w:val="39BC5707"/>
    <w:rsid w:val="39E85A12"/>
    <w:rsid w:val="39F41558"/>
    <w:rsid w:val="3A2636DC"/>
    <w:rsid w:val="3A8938E1"/>
    <w:rsid w:val="3A957A82"/>
    <w:rsid w:val="3A9E14C4"/>
    <w:rsid w:val="3AB657CE"/>
    <w:rsid w:val="3AC76C6D"/>
    <w:rsid w:val="3AE74B40"/>
    <w:rsid w:val="3AF35977"/>
    <w:rsid w:val="3B181276"/>
    <w:rsid w:val="3B3F5FF3"/>
    <w:rsid w:val="3B507298"/>
    <w:rsid w:val="3BBD1E1E"/>
    <w:rsid w:val="3BD57167"/>
    <w:rsid w:val="3BEC073E"/>
    <w:rsid w:val="3BF53366"/>
    <w:rsid w:val="3C08498D"/>
    <w:rsid w:val="3C177012"/>
    <w:rsid w:val="3C1B5FAF"/>
    <w:rsid w:val="3C3245BA"/>
    <w:rsid w:val="3C3A6FCB"/>
    <w:rsid w:val="3C3E4D0D"/>
    <w:rsid w:val="3C847A88"/>
    <w:rsid w:val="3CB21257"/>
    <w:rsid w:val="3CD15B81"/>
    <w:rsid w:val="3D5C60BF"/>
    <w:rsid w:val="3D6A1B31"/>
    <w:rsid w:val="3D7761D2"/>
    <w:rsid w:val="3D8D5FDA"/>
    <w:rsid w:val="3DBA4867"/>
    <w:rsid w:val="3DBE72D9"/>
    <w:rsid w:val="3DBF3C2B"/>
    <w:rsid w:val="3DC56D68"/>
    <w:rsid w:val="3DD376D7"/>
    <w:rsid w:val="3DE37EF4"/>
    <w:rsid w:val="3DF17B5D"/>
    <w:rsid w:val="3E045AC1"/>
    <w:rsid w:val="3E371A14"/>
    <w:rsid w:val="3E642A25"/>
    <w:rsid w:val="3E7A3FF6"/>
    <w:rsid w:val="3E860BED"/>
    <w:rsid w:val="3E897E8A"/>
    <w:rsid w:val="3E952BDE"/>
    <w:rsid w:val="3EE37DED"/>
    <w:rsid w:val="3F1B0282"/>
    <w:rsid w:val="3F3F048F"/>
    <w:rsid w:val="3F814173"/>
    <w:rsid w:val="3F9C695E"/>
    <w:rsid w:val="3FC25C55"/>
    <w:rsid w:val="40096EB0"/>
    <w:rsid w:val="40167FAB"/>
    <w:rsid w:val="40274A0C"/>
    <w:rsid w:val="40333E8E"/>
    <w:rsid w:val="4097228B"/>
    <w:rsid w:val="40CA3013"/>
    <w:rsid w:val="40CB28E7"/>
    <w:rsid w:val="40CE303A"/>
    <w:rsid w:val="40D37AA0"/>
    <w:rsid w:val="40DA4D91"/>
    <w:rsid w:val="40ED0AAF"/>
    <w:rsid w:val="40F462E2"/>
    <w:rsid w:val="414F180E"/>
    <w:rsid w:val="41605725"/>
    <w:rsid w:val="41696C04"/>
    <w:rsid w:val="416A6007"/>
    <w:rsid w:val="416F761F"/>
    <w:rsid w:val="418331C2"/>
    <w:rsid w:val="41872CB2"/>
    <w:rsid w:val="419D24D5"/>
    <w:rsid w:val="41B15F81"/>
    <w:rsid w:val="41C061C4"/>
    <w:rsid w:val="41F56898"/>
    <w:rsid w:val="42091919"/>
    <w:rsid w:val="422724C9"/>
    <w:rsid w:val="423B3A9C"/>
    <w:rsid w:val="4290203A"/>
    <w:rsid w:val="429C5BC7"/>
    <w:rsid w:val="42F759CA"/>
    <w:rsid w:val="43016A94"/>
    <w:rsid w:val="4306675E"/>
    <w:rsid w:val="43195D9A"/>
    <w:rsid w:val="4350472E"/>
    <w:rsid w:val="43B835F7"/>
    <w:rsid w:val="43CA332A"/>
    <w:rsid w:val="43ED7F90"/>
    <w:rsid w:val="43F62371"/>
    <w:rsid w:val="43FB120B"/>
    <w:rsid w:val="442B201A"/>
    <w:rsid w:val="44444724"/>
    <w:rsid w:val="44543B92"/>
    <w:rsid w:val="44663053"/>
    <w:rsid w:val="44ED437B"/>
    <w:rsid w:val="4511652A"/>
    <w:rsid w:val="451A208F"/>
    <w:rsid w:val="453B3F40"/>
    <w:rsid w:val="45464C32"/>
    <w:rsid w:val="45C0215E"/>
    <w:rsid w:val="45C927EA"/>
    <w:rsid w:val="464C0320"/>
    <w:rsid w:val="4657106F"/>
    <w:rsid w:val="465F4420"/>
    <w:rsid w:val="4675562B"/>
    <w:rsid w:val="46855D68"/>
    <w:rsid w:val="46882E44"/>
    <w:rsid w:val="46BC33FE"/>
    <w:rsid w:val="46D544C0"/>
    <w:rsid w:val="46F037B3"/>
    <w:rsid w:val="4707219F"/>
    <w:rsid w:val="47190850"/>
    <w:rsid w:val="472A74A5"/>
    <w:rsid w:val="473F33F0"/>
    <w:rsid w:val="4770243A"/>
    <w:rsid w:val="477041E8"/>
    <w:rsid w:val="480371C1"/>
    <w:rsid w:val="484E277B"/>
    <w:rsid w:val="485C17B4"/>
    <w:rsid w:val="48777482"/>
    <w:rsid w:val="48806F27"/>
    <w:rsid w:val="48877A3B"/>
    <w:rsid w:val="48BE3EB0"/>
    <w:rsid w:val="48D0550C"/>
    <w:rsid w:val="48D2617F"/>
    <w:rsid w:val="48DE0C42"/>
    <w:rsid w:val="48F30C2D"/>
    <w:rsid w:val="48F50E49"/>
    <w:rsid w:val="49062E6D"/>
    <w:rsid w:val="491F537A"/>
    <w:rsid w:val="493E28C6"/>
    <w:rsid w:val="49496A9F"/>
    <w:rsid w:val="496658A3"/>
    <w:rsid w:val="49777AB0"/>
    <w:rsid w:val="49BF7923"/>
    <w:rsid w:val="4A143551"/>
    <w:rsid w:val="4A2664FF"/>
    <w:rsid w:val="4A8076CB"/>
    <w:rsid w:val="4B441C14"/>
    <w:rsid w:val="4B5C2965"/>
    <w:rsid w:val="4B722056"/>
    <w:rsid w:val="4BA0618C"/>
    <w:rsid w:val="4BB072A9"/>
    <w:rsid w:val="4BB21699"/>
    <w:rsid w:val="4C0C285D"/>
    <w:rsid w:val="4C373527"/>
    <w:rsid w:val="4C4E1E80"/>
    <w:rsid w:val="4C5D09F4"/>
    <w:rsid w:val="4C7F554C"/>
    <w:rsid w:val="4C9646F1"/>
    <w:rsid w:val="4CB728CC"/>
    <w:rsid w:val="4CC162CF"/>
    <w:rsid w:val="4CC403F0"/>
    <w:rsid w:val="4CD174D7"/>
    <w:rsid w:val="4CDC3ABD"/>
    <w:rsid w:val="4CEB1B2E"/>
    <w:rsid w:val="4D1138BC"/>
    <w:rsid w:val="4D605325"/>
    <w:rsid w:val="4D622601"/>
    <w:rsid w:val="4D6277BC"/>
    <w:rsid w:val="4D765FA3"/>
    <w:rsid w:val="4D8A2859"/>
    <w:rsid w:val="4D923212"/>
    <w:rsid w:val="4DB12E65"/>
    <w:rsid w:val="4DBA61BD"/>
    <w:rsid w:val="4DE374C2"/>
    <w:rsid w:val="4DF07CFE"/>
    <w:rsid w:val="4E084364"/>
    <w:rsid w:val="4E0F6509"/>
    <w:rsid w:val="4E2D2E33"/>
    <w:rsid w:val="4E2D4BE1"/>
    <w:rsid w:val="4E933B6F"/>
    <w:rsid w:val="4EDD7F3F"/>
    <w:rsid w:val="4F3B50DC"/>
    <w:rsid w:val="4F584EAC"/>
    <w:rsid w:val="4F6E0610"/>
    <w:rsid w:val="4F8922EB"/>
    <w:rsid w:val="4F973092"/>
    <w:rsid w:val="4F9F246A"/>
    <w:rsid w:val="4FA33C65"/>
    <w:rsid w:val="4FBC446F"/>
    <w:rsid w:val="4FCC7FA9"/>
    <w:rsid w:val="4FD806AB"/>
    <w:rsid w:val="4FDD43E5"/>
    <w:rsid w:val="4FE63299"/>
    <w:rsid w:val="50120532"/>
    <w:rsid w:val="5025236D"/>
    <w:rsid w:val="503E550E"/>
    <w:rsid w:val="50850D04"/>
    <w:rsid w:val="508F48F2"/>
    <w:rsid w:val="509015D5"/>
    <w:rsid w:val="50C35389"/>
    <w:rsid w:val="50D852D8"/>
    <w:rsid w:val="50EB4A23"/>
    <w:rsid w:val="50EC33FE"/>
    <w:rsid w:val="512C1180"/>
    <w:rsid w:val="5143519A"/>
    <w:rsid w:val="51825244"/>
    <w:rsid w:val="519531C9"/>
    <w:rsid w:val="51961A1E"/>
    <w:rsid w:val="51992299"/>
    <w:rsid w:val="51B3364F"/>
    <w:rsid w:val="51CB6BEB"/>
    <w:rsid w:val="51EC1EFB"/>
    <w:rsid w:val="51ED4DB3"/>
    <w:rsid w:val="51ED6B61"/>
    <w:rsid w:val="51FA3580"/>
    <w:rsid w:val="52302EF2"/>
    <w:rsid w:val="52316197"/>
    <w:rsid w:val="523522B6"/>
    <w:rsid w:val="524E71C5"/>
    <w:rsid w:val="529A05E2"/>
    <w:rsid w:val="52A511EA"/>
    <w:rsid w:val="52C7750F"/>
    <w:rsid w:val="52EC1142"/>
    <w:rsid w:val="52EF6909"/>
    <w:rsid w:val="52FD1E86"/>
    <w:rsid w:val="531225F7"/>
    <w:rsid w:val="53146370"/>
    <w:rsid w:val="531B76FE"/>
    <w:rsid w:val="5325232B"/>
    <w:rsid w:val="533932A5"/>
    <w:rsid w:val="5354676C"/>
    <w:rsid w:val="53565BD2"/>
    <w:rsid w:val="53566988"/>
    <w:rsid w:val="536410A5"/>
    <w:rsid w:val="539A21B2"/>
    <w:rsid w:val="53A5346C"/>
    <w:rsid w:val="53A80FC5"/>
    <w:rsid w:val="53AD73D7"/>
    <w:rsid w:val="540D3736"/>
    <w:rsid w:val="544D38E7"/>
    <w:rsid w:val="547E6196"/>
    <w:rsid w:val="5488491F"/>
    <w:rsid w:val="549D01C5"/>
    <w:rsid w:val="54DF7F53"/>
    <w:rsid w:val="54F86F7A"/>
    <w:rsid w:val="54FC355F"/>
    <w:rsid w:val="54FE420E"/>
    <w:rsid w:val="551A25C4"/>
    <w:rsid w:val="55425416"/>
    <w:rsid w:val="55564A1D"/>
    <w:rsid w:val="558477DD"/>
    <w:rsid w:val="558C27B4"/>
    <w:rsid w:val="55A36ECF"/>
    <w:rsid w:val="55C220B3"/>
    <w:rsid w:val="56515DC5"/>
    <w:rsid w:val="566C0DB2"/>
    <w:rsid w:val="568F468B"/>
    <w:rsid w:val="56B923A5"/>
    <w:rsid w:val="56DC1A0D"/>
    <w:rsid w:val="572D7A00"/>
    <w:rsid w:val="57452F9B"/>
    <w:rsid w:val="57473F62"/>
    <w:rsid w:val="57623B4D"/>
    <w:rsid w:val="57790E97"/>
    <w:rsid w:val="578F4217"/>
    <w:rsid w:val="57925A32"/>
    <w:rsid w:val="57A56DA5"/>
    <w:rsid w:val="57DB3900"/>
    <w:rsid w:val="57E72A37"/>
    <w:rsid w:val="57F87DC0"/>
    <w:rsid w:val="57FD5624"/>
    <w:rsid w:val="587326BB"/>
    <w:rsid w:val="5875165E"/>
    <w:rsid w:val="58A36161"/>
    <w:rsid w:val="58C3061C"/>
    <w:rsid w:val="58D740C7"/>
    <w:rsid w:val="58DE7204"/>
    <w:rsid w:val="59017396"/>
    <w:rsid w:val="59062E99"/>
    <w:rsid w:val="59097FF9"/>
    <w:rsid w:val="59611BE3"/>
    <w:rsid w:val="59A268C9"/>
    <w:rsid w:val="59C91EF0"/>
    <w:rsid w:val="59CE1BE7"/>
    <w:rsid w:val="59DB7BE7"/>
    <w:rsid w:val="59F7739A"/>
    <w:rsid w:val="5A4875D9"/>
    <w:rsid w:val="5A900415"/>
    <w:rsid w:val="5AA47FD9"/>
    <w:rsid w:val="5AA91A93"/>
    <w:rsid w:val="5AB95226"/>
    <w:rsid w:val="5ABF4E13"/>
    <w:rsid w:val="5AEE56F8"/>
    <w:rsid w:val="5B2630E4"/>
    <w:rsid w:val="5B534968"/>
    <w:rsid w:val="5B57304C"/>
    <w:rsid w:val="5B6522B9"/>
    <w:rsid w:val="5B8E3E78"/>
    <w:rsid w:val="5BA46D8F"/>
    <w:rsid w:val="5BA87F9D"/>
    <w:rsid w:val="5BAF6C35"/>
    <w:rsid w:val="5BCD424C"/>
    <w:rsid w:val="5BD3501A"/>
    <w:rsid w:val="5BEA4111"/>
    <w:rsid w:val="5C1271C4"/>
    <w:rsid w:val="5C180C7F"/>
    <w:rsid w:val="5C2A10A5"/>
    <w:rsid w:val="5C2B5E65"/>
    <w:rsid w:val="5C354AF5"/>
    <w:rsid w:val="5C5872CD"/>
    <w:rsid w:val="5C9549C3"/>
    <w:rsid w:val="5CA01799"/>
    <w:rsid w:val="5D080CF3"/>
    <w:rsid w:val="5D081FC5"/>
    <w:rsid w:val="5D121B72"/>
    <w:rsid w:val="5D3A69D3"/>
    <w:rsid w:val="5D466756"/>
    <w:rsid w:val="5D487342"/>
    <w:rsid w:val="5D7C348F"/>
    <w:rsid w:val="5D8F3C24"/>
    <w:rsid w:val="5D916BB6"/>
    <w:rsid w:val="5DFE20F6"/>
    <w:rsid w:val="5E21137C"/>
    <w:rsid w:val="5E2558D5"/>
    <w:rsid w:val="5E4C1BEB"/>
    <w:rsid w:val="5E8F2D4E"/>
    <w:rsid w:val="5E914D18"/>
    <w:rsid w:val="5EBE53E1"/>
    <w:rsid w:val="5F05773F"/>
    <w:rsid w:val="5F063D80"/>
    <w:rsid w:val="5F2D2C93"/>
    <w:rsid w:val="5F2E62B7"/>
    <w:rsid w:val="5F317081"/>
    <w:rsid w:val="5F610B8F"/>
    <w:rsid w:val="5F7141F1"/>
    <w:rsid w:val="5F857DF7"/>
    <w:rsid w:val="5F8D530B"/>
    <w:rsid w:val="5F9E1E44"/>
    <w:rsid w:val="5FD02A6A"/>
    <w:rsid w:val="5FF7361E"/>
    <w:rsid w:val="6005151A"/>
    <w:rsid w:val="60206354"/>
    <w:rsid w:val="60206BB5"/>
    <w:rsid w:val="60231B2C"/>
    <w:rsid w:val="60235E44"/>
    <w:rsid w:val="60383D0D"/>
    <w:rsid w:val="60415DC7"/>
    <w:rsid w:val="6062321A"/>
    <w:rsid w:val="606326E4"/>
    <w:rsid w:val="606A72E8"/>
    <w:rsid w:val="607641C6"/>
    <w:rsid w:val="608A5EC3"/>
    <w:rsid w:val="60997A74"/>
    <w:rsid w:val="60C018E5"/>
    <w:rsid w:val="610B7004"/>
    <w:rsid w:val="611B6B1B"/>
    <w:rsid w:val="612B1C65"/>
    <w:rsid w:val="6131633F"/>
    <w:rsid w:val="6151078F"/>
    <w:rsid w:val="6155027F"/>
    <w:rsid w:val="615A7643"/>
    <w:rsid w:val="616E216D"/>
    <w:rsid w:val="61A02D91"/>
    <w:rsid w:val="61A94127"/>
    <w:rsid w:val="61C45B0A"/>
    <w:rsid w:val="61CB6793"/>
    <w:rsid w:val="61D049B6"/>
    <w:rsid w:val="61D54F1C"/>
    <w:rsid w:val="61E41603"/>
    <w:rsid w:val="6223037D"/>
    <w:rsid w:val="62255EA3"/>
    <w:rsid w:val="62294E08"/>
    <w:rsid w:val="62427509"/>
    <w:rsid w:val="62C924DE"/>
    <w:rsid w:val="62CF5E0F"/>
    <w:rsid w:val="62D11B87"/>
    <w:rsid w:val="62F0541F"/>
    <w:rsid w:val="62F80316"/>
    <w:rsid w:val="62F97749"/>
    <w:rsid w:val="631A352E"/>
    <w:rsid w:val="632B74E9"/>
    <w:rsid w:val="6336726F"/>
    <w:rsid w:val="63381C06"/>
    <w:rsid w:val="635527B8"/>
    <w:rsid w:val="63BA43F3"/>
    <w:rsid w:val="63D538F9"/>
    <w:rsid w:val="63ED0268"/>
    <w:rsid w:val="63FC70D8"/>
    <w:rsid w:val="642108EC"/>
    <w:rsid w:val="648E2C3C"/>
    <w:rsid w:val="64A21A2D"/>
    <w:rsid w:val="64B27796"/>
    <w:rsid w:val="64BB47B9"/>
    <w:rsid w:val="64CE2822"/>
    <w:rsid w:val="64DE058B"/>
    <w:rsid w:val="64E8140A"/>
    <w:rsid w:val="64EA6DFA"/>
    <w:rsid w:val="651E4E2C"/>
    <w:rsid w:val="65337A81"/>
    <w:rsid w:val="653A1C66"/>
    <w:rsid w:val="65414F7C"/>
    <w:rsid w:val="656E7B61"/>
    <w:rsid w:val="65AF20DB"/>
    <w:rsid w:val="65B55790"/>
    <w:rsid w:val="65EE0CA2"/>
    <w:rsid w:val="6613298E"/>
    <w:rsid w:val="66195D1F"/>
    <w:rsid w:val="6632293D"/>
    <w:rsid w:val="664E5899"/>
    <w:rsid w:val="666B5E4F"/>
    <w:rsid w:val="666F3B91"/>
    <w:rsid w:val="66927307"/>
    <w:rsid w:val="66B45259"/>
    <w:rsid w:val="66C63C9D"/>
    <w:rsid w:val="66CD24A8"/>
    <w:rsid w:val="66E225B5"/>
    <w:rsid w:val="66E856F1"/>
    <w:rsid w:val="66E96071"/>
    <w:rsid w:val="67024A05"/>
    <w:rsid w:val="67246C2F"/>
    <w:rsid w:val="67283D40"/>
    <w:rsid w:val="67325CD5"/>
    <w:rsid w:val="673C3DE0"/>
    <w:rsid w:val="676A3B07"/>
    <w:rsid w:val="676A4358"/>
    <w:rsid w:val="678E0047"/>
    <w:rsid w:val="67A21D44"/>
    <w:rsid w:val="6810570C"/>
    <w:rsid w:val="682B1D3A"/>
    <w:rsid w:val="687630E9"/>
    <w:rsid w:val="68A61004"/>
    <w:rsid w:val="68B813CC"/>
    <w:rsid w:val="690802CD"/>
    <w:rsid w:val="692D388F"/>
    <w:rsid w:val="69330FE3"/>
    <w:rsid w:val="69390486"/>
    <w:rsid w:val="69620955"/>
    <w:rsid w:val="69990F25"/>
    <w:rsid w:val="69BD25FD"/>
    <w:rsid w:val="6A2447DD"/>
    <w:rsid w:val="6A2A5EB0"/>
    <w:rsid w:val="6A2B7DCF"/>
    <w:rsid w:val="6A317869"/>
    <w:rsid w:val="6A3550F2"/>
    <w:rsid w:val="6A4F1BEE"/>
    <w:rsid w:val="6A6E405B"/>
    <w:rsid w:val="6ABC136F"/>
    <w:rsid w:val="6ADB7A47"/>
    <w:rsid w:val="6AF17AC6"/>
    <w:rsid w:val="6B0671A4"/>
    <w:rsid w:val="6B0F5943"/>
    <w:rsid w:val="6B1F6235"/>
    <w:rsid w:val="6BC32289"/>
    <w:rsid w:val="6BDFCB9E"/>
    <w:rsid w:val="6C183B72"/>
    <w:rsid w:val="6C376EFF"/>
    <w:rsid w:val="6C47110C"/>
    <w:rsid w:val="6C5C0714"/>
    <w:rsid w:val="6C757A27"/>
    <w:rsid w:val="6C912E70"/>
    <w:rsid w:val="6C9F4CDE"/>
    <w:rsid w:val="6CA420BB"/>
    <w:rsid w:val="6CAD6865"/>
    <w:rsid w:val="6CB16327"/>
    <w:rsid w:val="6CEE0594"/>
    <w:rsid w:val="6D056FFD"/>
    <w:rsid w:val="6D6A52B9"/>
    <w:rsid w:val="6D7935F8"/>
    <w:rsid w:val="6DEC5AC7"/>
    <w:rsid w:val="6DF2373E"/>
    <w:rsid w:val="6E072901"/>
    <w:rsid w:val="6E0F17B6"/>
    <w:rsid w:val="6E0F2625"/>
    <w:rsid w:val="6E6A2E07"/>
    <w:rsid w:val="6E8F0D77"/>
    <w:rsid w:val="6E9C129B"/>
    <w:rsid w:val="6EC23A2A"/>
    <w:rsid w:val="6ECC2F79"/>
    <w:rsid w:val="6ED35381"/>
    <w:rsid w:val="6EDAB47F"/>
    <w:rsid w:val="6EFF5E4B"/>
    <w:rsid w:val="6F143A6E"/>
    <w:rsid w:val="6F237CB9"/>
    <w:rsid w:val="6F2B3A52"/>
    <w:rsid w:val="6F2E438F"/>
    <w:rsid w:val="6F2F210F"/>
    <w:rsid w:val="6F6422A2"/>
    <w:rsid w:val="6F6618A9"/>
    <w:rsid w:val="6F7F48B2"/>
    <w:rsid w:val="6FAC091D"/>
    <w:rsid w:val="6FBE3A91"/>
    <w:rsid w:val="6FD2144D"/>
    <w:rsid w:val="6FF3138F"/>
    <w:rsid w:val="700E441B"/>
    <w:rsid w:val="701E3F32"/>
    <w:rsid w:val="70283302"/>
    <w:rsid w:val="702F613F"/>
    <w:rsid w:val="70393EC5"/>
    <w:rsid w:val="703C28D5"/>
    <w:rsid w:val="70425E72"/>
    <w:rsid w:val="70495453"/>
    <w:rsid w:val="705D0EFE"/>
    <w:rsid w:val="70726075"/>
    <w:rsid w:val="70957D10"/>
    <w:rsid w:val="70981F36"/>
    <w:rsid w:val="70AB7A0A"/>
    <w:rsid w:val="70D32F6E"/>
    <w:rsid w:val="70DC1E23"/>
    <w:rsid w:val="70E02D5C"/>
    <w:rsid w:val="70E60E46"/>
    <w:rsid w:val="710F6409"/>
    <w:rsid w:val="712F5888"/>
    <w:rsid w:val="716B13F9"/>
    <w:rsid w:val="719C39FF"/>
    <w:rsid w:val="71B278E6"/>
    <w:rsid w:val="71CC633B"/>
    <w:rsid w:val="71E559A9"/>
    <w:rsid w:val="71F47640"/>
    <w:rsid w:val="71FE431B"/>
    <w:rsid w:val="722872EA"/>
    <w:rsid w:val="723E6078"/>
    <w:rsid w:val="724A1FDB"/>
    <w:rsid w:val="725105EF"/>
    <w:rsid w:val="725956F5"/>
    <w:rsid w:val="7283302C"/>
    <w:rsid w:val="729055BB"/>
    <w:rsid w:val="72A96B37"/>
    <w:rsid w:val="72B56DCF"/>
    <w:rsid w:val="72E476B5"/>
    <w:rsid w:val="72EC1ACE"/>
    <w:rsid w:val="73081ADA"/>
    <w:rsid w:val="737547B1"/>
    <w:rsid w:val="73A1555E"/>
    <w:rsid w:val="73A948E5"/>
    <w:rsid w:val="73B452D9"/>
    <w:rsid w:val="74373814"/>
    <w:rsid w:val="743A36DB"/>
    <w:rsid w:val="7463285B"/>
    <w:rsid w:val="746F617C"/>
    <w:rsid w:val="74907983"/>
    <w:rsid w:val="74A60678"/>
    <w:rsid w:val="74B310ED"/>
    <w:rsid w:val="74BA06CD"/>
    <w:rsid w:val="74CE7B18"/>
    <w:rsid w:val="74DF6386"/>
    <w:rsid w:val="7512410C"/>
    <w:rsid w:val="7524023C"/>
    <w:rsid w:val="752C4F4C"/>
    <w:rsid w:val="756141FF"/>
    <w:rsid w:val="7568637B"/>
    <w:rsid w:val="75BA630A"/>
    <w:rsid w:val="75D05BEC"/>
    <w:rsid w:val="75D67789"/>
    <w:rsid w:val="75E125BD"/>
    <w:rsid w:val="75F53657"/>
    <w:rsid w:val="75F61BD9"/>
    <w:rsid w:val="7603261B"/>
    <w:rsid w:val="760F2C9B"/>
    <w:rsid w:val="76325C2F"/>
    <w:rsid w:val="766052A4"/>
    <w:rsid w:val="76733229"/>
    <w:rsid w:val="76814A4A"/>
    <w:rsid w:val="76EF58A5"/>
    <w:rsid w:val="771E2A5A"/>
    <w:rsid w:val="771F042D"/>
    <w:rsid w:val="77521091"/>
    <w:rsid w:val="775F5EE7"/>
    <w:rsid w:val="77B94C00"/>
    <w:rsid w:val="77FEBBC5"/>
    <w:rsid w:val="782B18E2"/>
    <w:rsid w:val="787048F9"/>
    <w:rsid w:val="78AF5C18"/>
    <w:rsid w:val="78C23FF4"/>
    <w:rsid w:val="78CF04BF"/>
    <w:rsid w:val="78E33F6B"/>
    <w:rsid w:val="791D742C"/>
    <w:rsid w:val="792151BF"/>
    <w:rsid w:val="792315D7"/>
    <w:rsid w:val="798F6EBD"/>
    <w:rsid w:val="79A96F62"/>
    <w:rsid w:val="79C53C88"/>
    <w:rsid w:val="79CD43E9"/>
    <w:rsid w:val="79DC10E6"/>
    <w:rsid w:val="7A146AD1"/>
    <w:rsid w:val="7A212F9C"/>
    <w:rsid w:val="7A2B7977"/>
    <w:rsid w:val="7A2D7B93"/>
    <w:rsid w:val="7A4F053A"/>
    <w:rsid w:val="7A5D2F51"/>
    <w:rsid w:val="7AF16E9B"/>
    <w:rsid w:val="7B0F7299"/>
    <w:rsid w:val="7B283ED3"/>
    <w:rsid w:val="7B3D7E48"/>
    <w:rsid w:val="7B780783"/>
    <w:rsid w:val="7B91253D"/>
    <w:rsid w:val="7B937ECA"/>
    <w:rsid w:val="7BB128AD"/>
    <w:rsid w:val="7BD06A28"/>
    <w:rsid w:val="7BDD2EF3"/>
    <w:rsid w:val="7BEC1388"/>
    <w:rsid w:val="7C4417AE"/>
    <w:rsid w:val="7C520C06"/>
    <w:rsid w:val="7C66113B"/>
    <w:rsid w:val="7C74223B"/>
    <w:rsid w:val="7C865339"/>
    <w:rsid w:val="7CB46C46"/>
    <w:rsid w:val="7CB65C1E"/>
    <w:rsid w:val="7CE0342F"/>
    <w:rsid w:val="7CEA3B1A"/>
    <w:rsid w:val="7D225061"/>
    <w:rsid w:val="7D2307FF"/>
    <w:rsid w:val="7D4D6F7F"/>
    <w:rsid w:val="7D6F2271"/>
    <w:rsid w:val="7D8545C7"/>
    <w:rsid w:val="7D8A624C"/>
    <w:rsid w:val="7D937D0D"/>
    <w:rsid w:val="7D985324"/>
    <w:rsid w:val="7DA125AE"/>
    <w:rsid w:val="7DC73E5B"/>
    <w:rsid w:val="7DDB7A6F"/>
    <w:rsid w:val="7DE93DD1"/>
    <w:rsid w:val="7DF84014"/>
    <w:rsid w:val="7E1D48D3"/>
    <w:rsid w:val="7E582D05"/>
    <w:rsid w:val="7E7E00E5"/>
    <w:rsid w:val="7E8B30DA"/>
    <w:rsid w:val="7EA907AD"/>
    <w:rsid w:val="7EBE2C3F"/>
    <w:rsid w:val="7EF71ABF"/>
    <w:rsid w:val="7F375691"/>
    <w:rsid w:val="7F481A43"/>
    <w:rsid w:val="7F482D79"/>
    <w:rsid w:val="7F4C286A"/>
    <w:rsid w:val="7F591A37"/>
    <w:rsid w:val="7F8F6BFA"/>
    <w:rsid w:val="7F9C785B"/>
    <w:rsid w:val="7FB14DC3"/>
    <w:rsid w:val="7FDC322B"/>
    <w:rsid w:val="7FE707E4"/>
    <w:rsid w:val="9F8B024E"/>
    <w:rsid w:val="BAF72774"/>
    <w:rsid w:val="FBBE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beforeLines="0" w:after="260" w:afterLines="0" w:line="416" w:lineRule="auto"/>
      <w:jc w:val="both"/>
      <w:outlineLvl w:val="1"/>
    </w:pPr>
    <w:rPr>
      <w:rFonts w:ascii="Arial" w:hAnsi="Arial" w:eastAsia="黑体" w:cs="Times New Roman"/>
      <w:b/>
      <w:bCs/>
      <w:kern w:val="2"/>
      <w:sz w:val="32"/>
      <w:szCs w:val="32"/>
      <w:lang w:val="en-US" w:eastAsia="zh-CN" w:bidi="ar-SA"/>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4">
    <w:name w:val="Normal Indent"/>
    <w:basedOn w:val="1"/>
    <w:next w:val="1"/>
    <w:qFormat/>
    <w:uiPriority w:val="0"/>
    <w:pPr>
      <w:ind w:firstLine="420" w:firstLineChars="200"/>
    </w:pPr>
    <w:rPr>
      <w:rFonts w:ascii="Calibri" w:hAnsi="Calibri" w:eastAsia="仿宋" w:cs="Times New Roman"/>
      <w:sz w:val="32"/>
    </w:r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Body Text Indent"/>
    <w:basedOn w:val="1"/>
    <w:next w:val="4"/>
    <w:qFormat/>
    <w:uiPriority w:val="0"/>
    <w:pPr>
      <w:spacing w:after="120"/>
      <w:ind w:left="420" w:leftChars="2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正文首行缩进 21"/>
    <w:basedOn w:val="15"/>
    <w:next w:val="9"/>
    <w:qFormat/>
    <w:uiPriority w:val="0"/>
    <w:pPr>
      <w:widowControl/>
      <w:ind w:firstLine="200" w:firstLineChars="200"/>
      <w:jc w:val="left"/>
    </w:pPr>
    <w:rPr>
      <w:rFonts w:ascii="Calibri" w:hAnsi="Calibri" w:eastAsia="仿宋_GB2312" w:cs="Calibri"/>
      <w:kern w:val="0"/>
      <w:sz w:val="24"/>
      <w:szCs w:val="24"/>
    </w:rPr>
  </w:style>
  <w:style w:type="paragraph" w:customStyle="1" w:styleId="15">
    <w:name w:val="正文文本缩进1"/>
    <w:basedOn w:val="1"/>
    <w:qFormat/>
    <w:uiPriority w:val="0"/>
    <w:pPr>
      <w:ind w:left="200" w:leftChars="200"/>
    </w:pPr>
    <w:rPr>
      <w:rFonts w:ascii="Calibri" w:hAnsi="Calibri" w:eastAsia="宋体" w:cs="Times New Roman"/>
    </w:rPr>
  </w:style>
  <w:style w:type="paragraph" w:customStyle="1" w:styleId="16">
    <w:name w:val="正文缩进1"/>
    <w:basedOn w:val="1"/>
    <w:qFormat/>
    <w:uiPriority w:val="99"/>
    <w:pPr>
      <w:ind w:firstLine="420" w:firstLineChars="200"/>
    </w:pPr>
    <w:rPr>
      <w:rFonts w:eastAsia="宋体"/>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3469</Words>
  <Characters>3531</Characters>
  <Paragraphs>70</Paragraphs>
  <TotalTime>17</TotalTime>
  <ScaleCrop>false</ScaleCrop>
  <LinksUpToDate>false</LinksUpToDate>
  <CharactersWithSpaces>3609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2023-01-11T04:01:00Z</dcterms:created>
  <dc:creator>libo</dc:creator>
  <cp:lastModifiedBy>Administrator</cp:lastModifiedBy>
  <cp:lastPrinted>2024-09-04T02:35:14Z</cp:lastPrinted>
  <dcterms:modified xsi:type="dcterms:W3CDTF">2024-09-04T02:37:39Z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5F82F72A2663497AB4FF033049295F94_13</vt:lpwstr>
  </property>
</Properties>
</file>