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jc w:val="both"/>
        <w:textAlignment w:val="auto"/>
        <w:rPr>
          <w:rFonts w:hint="eastAsia" w:ascii="方正小标宋_GBK" w:hAnsi="方正小标宋_GBK" w:eastAsia="方正小标宋_GBK" w:cs="方正小标宋_GBK"/>
          <w:sz w:val="44"/>
          <w:szCs w:val="44"/>
          <w:lang w:eastAsia="zh-CN"/>
        </w:rPr>
      </w:pPr>
    </w:p>
    <w:p>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pPr>
        <w:pStyle w:val="2"/>
        <w:widowControl w:val="0"/>
        <w:wordWrap/>
        <w:adjustRightInd/>
        <w:snapToGrid/>
        <w:spacing w:before="240" w:after="60" w:line="400" w:lineRule="exact"/>
        <w:ind w:left="0" w:leftChars="0" w:right="0" w:firstLine="0" w:firstLineChars="0"/>
        <w:jc w:val="center"/>
        <w:textAlignment w:val="auto"/>
        <w:outlineLvl w:val="0"/>
        <w:rPr>
          <w:rFonts w:hint="eastAsia" w:ascii="仿宋_GB2312" w:hAnsi="仿宋_GB2312" w:eastAsia="仿宋_GB2312" w:cs="仿宋_GB2312"/>
          <w:sz w:val="32"/>
          <w:szCs w:val="32"/>
          <w:lang w:eastAsia="zh-CN"/>
        </w:rPr>
      </w:pPr>
    </w:p>
    <w:p>
      <w:pPr>
        <w:rPr>
          <w:rFonts w:hint="eastAsia"/>
          <w:lang w:eastAsia="zh-CN"/>
        </w:rPr>
      </w:pPr>
    </w:p>
    <w:p>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pPr>
        <w:widowControl w:val="0"/>
        <w:wordWrap/>
        <w:adjustRightInd/>
        <w:snapToGrid/>
        <w:spacing w:after="156" w:afterLines="5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p>
    <w:p>
      <w:pPr>
        <w:pStyle w:val="2"/>
        <w:widowControl w:val="0"/>
        <w:wordWrap/>
        <w:adjustRightInd/>
        <w:snapToGrid/>
        <w:spacing w:before="240" w:after="60" w:line="400" w:lineRule="exact"/>
        <w:ind w:left="0" w:leftChars="0" w:right="0" w:firstLine="0" w:firstLineChars="0"/>
        <w:jc w:val="center"/>
        <w:textAlignment w:val="auto"/>
        <w:outlineLvl w:val="0"/>
        <w:rPr>
          <w:rFonts w:hint="eastAsia"/>
          <w:lang w:eastAsia="zh-CN"/>
        </w:rPr>
      </w:pPr>
    </w:p>
    <w:p>
      <w:pPr>
        <w:pStyle w:val="4"/>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长上应急字〔2024〕22号</w:t>
      </w:r>
    </w:p>
    <w:p>
      <w:pPr>
        <w:widowControl w:val="0"/>
        <w:wordWrap/>
        <w:adjustRightInd/>
        <w:snapToGrid/>
        <w:spacing w:line="600" w:lineRule="exact"/>
        <w:ind w:left="0" w:leftChars="0"/>
        <w:jc w:val="both"/>
        <w:textAlignment w:val="auto"/>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长治市</w:t>
      </w:r>
      <w:r>
        <w:rPr>
          <w:rFonts w:hint="eastAsia" w:ascii="方正小标宋简体" w:eastAsia="方正小标宋简体"/>
          <w:sz w:val="44"/>
          <w:szCs w:val="44"/>
          <w:lang w:eastAsia="zh-CN"/>
        </w:rPr>
        <w:t>上党区</w:t>
      </w:r>
      <w:r>
        <w:rPr>
          <w:rFonts w:hint="eastAsia" w:ascii="方正小标宋简体" w:eastAsia="方正小标宋简体"/>
          <w:sz w:val="44"/>
          <w:szCs w:val="44"/>
        </w:rPr>
        <w:t>应急管理局</w:t>
      </w:r>
    </w:p>
    <w:p>
      <w:pPr>
        <w:spacing w:line="540" w:lineRule="exact"/>
        <w:jc w:val="center"/>
        <w:rPr>
          <w:rFonts w:hint="eastAsia" w:ascii="方正小标宋简体" w:eastAsia="方正小标宋简体"/>
          <w:sz w:val="44"/>
          <w:szCs w:val="44"/>
        </w:rPr>
      </w:pPr>
      <w:r>
        <w:rPr>
          <w:rFonts w:hint="eastAsia" w:ascii="方正小标宋简体" w:eastAsia="方正小标宋简体"/>
          <w:spacing w:val="-14"/>
          <w:sz w:val="44"/>
          <w:szCs w:val="44"/>
        </w:rPr>
        <w:t>关于印发2024年全</w:t>
      </w:r>
      <w:r>
        <w:rPr>
          <w:rFonts w:hint="eastAsia" w:ascii="方正小标宋简体" w:eastAsia="方正小标宋简体"/>
          <w:spacing w:val="-14"/>
          <w:sz w:val="44"/>
          <w:szCs w:val="44"/>
          <w:lang w:eastAsia="zh-CN"/>
        </w:rPr>
        <w:t>区</w:t>
      </w:r>
      <w:r>
        <w:rPr>
          <w:rFonts w:hint="eastAsia" w:ascii="方正小标宋简体" w:eastAsia="方正小标宋简体"/>
          <w:spacing w:val="-14"/>
          <w:sz w:val="44"/>
          <w:szCs w:val="44"/>
        </w:rPr>
        <w:t>化工医药、危险化学品</w:t>
      </w:r>
      <w:r>
        <w:rPr>
          <w:rFonts w:hint="eastAsia" w:ascii="方正小标宋简体" w:eastAsia="方正小标宋简体"/>
          <w:sz w:val="44"/>
          <w:szCs w:val="44"/>
          <w:lang w:eastAsia="zh-CN"/>
        </w:rPr>
        <w:t>和</w:t>
      </w:r>
      <w:r>
        <w:rPr>
          <w:rFonts w:hint="eastAsia" w:ascii="方正小标宋简体" w:eastAsia="方正小标宋简体"/>
          <w:sz w:val="44"/>
          <w:szCs w:val="44"/>
        </w:rPr>
        <w:t>烟花爆竹安全生产监管工作要点的</w:t>
      </w:r>
    </w:p>
    <w:p>
      <w:pPr>
        <w:spacing w:line="540" w:lineRule="exact"/>
        <w:jc w:val="center"/>
        <w:rPr>
          <w:rFonts w:hint="eastAsia"/>
        </w:rPr>
      </w:pPr>
      <w:r>
        <w:rPr>
          <w:rFonts w:hint="eastAsia" w:ascii="方正小标宋简体" w:eastAsia="方正小标宋简体"/>
          <w:sz w:val="44"/>
          <w:szCs w:val="44"/>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知</w:t>
      </w:r>
    </w:p>
    <w:p>
      <w:pPr>
        <w:pStyle w:val="2"/>
        <w:jc w:val="both"/>
      </w:pPr>
    </w:p>
    <w:p>
      <w:pPr>
        <w:widowControl w:val="0"/>
        <w:wordWrap/>
        <w:autoSpaceDE w:val="0"/>
        <w:autoSpaceDN w:val="0"/>
        <w:adjustRightInd w:val="0"/>
        <w:snapToGrid w:val="0"/>
        <w:spacing w:line="500" w:lineRule="exact"/>
        <w:ind w:left="0" w:leftChars="0" w:right="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局有关股室，</w:t>
      </w: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eastAsia="zh-CN"/>
        </w:rPr>
        <w:t>有关</w:t>
      </w:r>
      <w:r>
        <w:rPr>
          <w:rFonts w:hint="eastAsia" w:ascii="楷体_GB2312" w:hAnsi="楷体_GB2312" w:eastAsia="楷体_GB2312" w:cs="楷体_GB2312"/>
          <w:sz w:val="32"/>
          <w:szCs w:val="32"/>
        </w:rPr>
        <w:t>企业：</w:t>
      </w:r>
    </w:p>
    <w:p>
      <w:pPr>
        <w:widowControl w:val="0"/>
        <w:wordWrap/>
        <w:spacing w:line="500" w:lineRule="exact"/>
        <w:ind w:left="0" w:leftChars="0" w:right="0" w:firstLine="640" w:firstLineChars="200"/>
        <w:jc w:val="both"/>
        <w:textAlignment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根据《长治市应急管理局关于印发</w:t>
      </w:r>
      <w:r>
        <w:rPr>
          <w:rFonts w:hint="eastAsia" w:ascii="楷体_GB2312" w:hAnsi="楷体_GB2312" w:eastAsia="楷体_GB2312" w:cs="楷体_GB2312"/>
          <w:sz w:val="32"/>
          <w:szCs w:val="32"/>
          <w:lang w:val="en-US" w:eastAsia="zh-CN"/>
        </w:rPr>
        <w:t>2024年全市化工医药、危险化学品、烟花爆竹和非药品类易制毒化学品安全生产监管工作要点的通知</w:t>
      </w:r>
      <w:r>
        <w:rPr>
          <w:rFonts w:hint="eastAsia" w:ascii="楷体_GB2312" w:hAnsi="楷体_GB2312" w:eastAsia="楷体_GB2312" w:cs="楷体_GB2312"/>
          <w:sz w:val="32"/>
          <w:szCs w:val="32"/>
          <w:lang w:eastAsia="zh-CN"/>
        </w:rPr>
        <w:t>》（长应急发</w:t>
      </w:r>
      <w:r>
        <w:rPr>
          <w:rFonts w:hint="eastAsia" w:ascii="楷体_GB2312" w:hAnsi="楷体_GB2312" w:eastAsia="楷体_GB2312" w:cs="楷体_GB2312"/>
          <w:spacing w:val="0"/>
          <w:w w:val="100"/>
          <w:kern w:val="21"/>
          <w:sz w:val="32"/>
          <w:szCs w:val="32"/>
          <w:lang w:val="en-US" w:eastAsia="zh-CN"/>
        </w:rPr>
        <w:t>〔2024〕28号</w:t>
      </w:r>
      <w:r>
        <w:rPr>
          <w:rFonts w:hint="eastAsia" w:ascii="楷体_GB2312" w:hAnsi="楷体_GB2312" w:eastAsia="楷体_GB2312" w:cs="楷体_GB2312"/>
          <w:sz w:val="32"/>
          <w:szCs w:val="32"/>
          <w:lang w:eastAsia="zh-CN"/>
        </w:rPr>
        <w:t>）文件精神和要求，</w:t>
      </w:r>
      <w:r>
        <w:rPr>
          <w:rFonts w:hint="eastAsia" w:ascii="楷体_GB2312" w:hAnsi="楷体_GB2312" w:eastAsia="楷体_GB2312" w:cs="楷体_GB2312"/>
          <w:sz w:val="32"/>
          <w:szCs w:val="32"/>
          <w:lang w:val="en-US" w:eastAsia="zh-CN"/>
        </w:rPr>
        <w:t>结合我区工作实际，</w:t>
      </w:r>
      <w:r>
        <w:rPr>
          <w:rFonts w:hint="eastAsia" w:ascii="楷体_GB2312" w:hAnsi="楷体_GB2312" w:eastAsia="楷体_GB2312" w:cs="楷体_GB2312"/>
          <w:sz w:val="32"/>
          <w:szCs w:val="32"/>
          <w:lang w:eastAsia="zh-CN"/>
        </w:rPr>
        <w:t>制定</w:t>
      </w:r>
      <w:r>
        <w:rPr>
          <w:rFonts w:hint="eastAsia" w:ascii="楷体_GB2312" w:hAnsi="楷体_GB2312" w:eastAsia="楷体_GB2312" w:cs="楷体_GB2312"/>
          <w:sz w:val="32"/>
          <w:szCs w:val="32"/>
        </w:rPr>
        <w:t>《2024年全</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化工医药、危险化学品</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烟花爆竹安全生产监管工作要点》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现</w:t>
      </w:r>
      <w:r>
        <w:rPr>
          <w:rFonts w:hint="eastAsia" w:ascii="楷体_GB2312" w:hAnsi="楷体_GB2312" w:eastAsia="楷体_GB2312" w:cs="楷体_GB2312"/>
          <w:sz w:val="32"/>
          <w:szCs w:val="32"/>
        </w:rPr>
        <w:t>印发给你们，请</w:t>
      </w:r>
      <w:r>
        <w:rPr>
          <w:rFonts w:hint="eastAsia" w:ascii="楷体_GB2312" w:hAnsi="楷体_GB2312" w:eastAsia="楷体_GB2312" w:cs="楷体_GB2312"/>
          <w:sz w:val="32"/>
          <w:szCs w:val="32"/>
          <w:lang w:val="en-US" w:eastAsia="zh-CN"/>
        </w:rPr>
        <w:t>各企业</w:t>
      </w:r>
      <w:r>
        <w:rPr>
          <w:rFonts w:hint="eastAsia" w:ascii="楷体_GB2312" w:hAnsi="楷体_GB2312" w:eastAsia="楷体_GB2312" w:cs="楷体_GB2312"/>
          <w:sz w:val="32"/>
          <w:szCs w:val="32"/>
        </w:rPr>
        <w:t>认真抓好贯彻落实</w:t>
      </w:r>
      <w:r>
        <w:rPr>
          <w:rFonts w:hint="eastAsia" w:ascii="楷体_GB2312" w:hAnsi="楷体_GB2312" w:eastAsia="楷体_GB2312" w:cs="楷体_GB2312"/>
          <w:sz w:val="32"/>
          <w:szCs w:val="32"/>
          <w:lang w:eastAsia="zh-CN"/>
        </w:rPr>
        <w:t>。</w:t>
      </w:r>
    </w:p>
    <w:p>
      <w:pPr>
        <w:widowControl w:val="0"/>
        <w:wordWrap/>
        <w:spacing w:line="500" w:lineRule="exact"/>
        <w:ind w:left="0" w:leftChars="0" w:right="0"/>
        <w:jc w:val="both"/>
        <w:outlineLvl w:val="9"/>
        <w:rPr>
          <w:rFonts w:hint="eastAsia" w:ascii="楷体_GB2312" w:hAnsi="楷体_GB2312" w:eastAsia="楷体_GB2312" w:cs="楷体_GB2312"/>
          <w:sz w:val="32"/>
          <w:szCs w:val="32"/>
        </w:rPr>
      </w:pPr>
    </w:p>
    <w:p>
      <w:pPr>
        <w:widowControl w:val="0"/>
        <w:wordWrap/>
        <w:spacing w:line="500" w:lineRule="exact"/>
        <w:ind w:left="0" w:leftChars="0" w:right="0"/>
        <w:jc w:val="both"/>
        <w:textAlignment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长治市</w:t>
      </w:r>
      <w:r>
        <w:rPr>
          <w:rFonts w:hint="eastAsia" w:ascii="楷体_GB2312" w:hAnsi="楷体_GB2312" w:eastAsia="楷体_GB2312" w:cs="楷体_GB2312"/>
          <w:sz w:val="32"/>
          <w:szCs w:val="32"/>
          <w:lang w:val="en-US" w:eastAsia="zh-CN"/>
        </w:rPr>
        <w:t>上党区</w:t>
      </w:r>
      <w:r>
        <w:rPr>
          <w:rFonts w:hint="eastAsia" w:ascii="楷体_GB2312" w:hAnsi="楷体_GB2312" w:eastAsia="楷体_GB2312" w:cs="楷体_GB2312"/>
          <w:sz w:val="32"/>
          <w:szCs w:val="32"/>
        </w:rPr>
        <w:t xml:space="preserve">应急管理局       </w:t>
      </w:r>
    </w:p>
    <w:p>
      <w:pPr>
        <w:widowControl w:val="0"/>
        <w:wordWrap/>
        <w:spacing w:line="500" w:lineRule="exact"/>
        <w:ind w:left="0" w:leftChars="0" w:right="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2024年3月</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日</w:t>
      </w:r>
    </w:p>
    <w:p>
      <w:pPr>
        <w:widowControl w:val="0"/>
        <w:wordWrap/>
        <w:spacing w:line="500" w:lineRule="exact"/>
        <w:ind w:left="0" w:leftChars="0" w:right="0"/>
        <w:jc w:val="both"/>
        <w:outlineLvl w:val="9"/>
        <w:rPr>
          <w:rFonts w:hint="eastAsia" w:ascii="仿宋_GB2312" w:hAnsi="仿宋" w:eastAsia="仿宋_GB2312"/>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2"/>
        <w:rPr>
          <w:rFonts w:hint="eastAsia"/>
        </w:rPr>
      </w:pPr>
    </w:p>
    <w:p>
      <w:pPr>
        <w:spacing w:line="600" w:lineRule="exact"/>
        <w:jc w:val="both"/>
        <w:rPr>
          <w:rFonts w:hint="eastAsia" w:ascii="方正小标宋简体" w:hAnsi="黑体" w:eastAsia="方正小标宋简体" w:cs="黑体"/>
          <w:iCs/>
          <w:sz w:val="44"/>
          <w:szCs w:val="44"/>
        </w:rPr>
      </w:pPr>
      <w:r>
        <w:rPr>
          <w:rFonts w:eastAsia="方正小标宋简体"/>
          <w:iCs/>
          <w:sz w:val="44"/>
          <w:szCs w:val="44"/>
        </w:rPr>
        <w:t>202</w:t>
      </w:r>
      <w:r>
        <w:rPr>
          <w:rFonts w:hint="eastAsia" w:eastAsia="方正小标宋简体"/>
          <w:iCs/>
          <w:sz w:val="44"/>
          <w:szCs w:val="44"/>
        </w:rPr>
        <w:t>4</w:t>
      </w:r>
      <w:r>
        <w:rPr>
          <w:rFonts w:hint="eastAsia" w:ascii="方正小标宋简体" w:hAnsi="黑体" w:eastAsia="方正小标宋简体" w:cs="黑体"/>
          <w:iCs/>
          <w:sz w:val="44"/>
          <w:szCs w:val="44"/>
        </w:rPr>
        <w:t>年全</w:t>
      </w:r>
      <w:r>
        <w:rPr>
          <w:rFonts w:hint="eastAsia" w:ascii="方正小标宋简体" w:hAnsi="黑体" w:eastAsia="方正小标宋简体" w:cs="黑体"/>
          <w:iCs/>
          <w:sz w:val="44"/>
          <w:szCs w:val="44"/>
          <w:lang w:eastAsia="zh-CN"/>
        </w:rPr>
        <w:t>区</w:t>
      </w:r>
      <w:r>
        <w:rPr>
          <w:rFonts w:hint="eastAsia" w:ascii="方正小标宋简体" w:hAnsi="黑体" w:eastAsia="方正小标宋简体" w:cs="黑体"/>
          <w:iCs/>
          <w:sz w:val="44"/>
          <w:szCs w:val="44"/>
        </w:rPr>
        <w:t>化工医药、危险化学品</w:t>
      </w:r>
      <w:r>
        <w:rPr>
          <w:rFonts w:hint="eastAsia" w:ascii="方正小标宋简体" w:hAnsi="黑体" w:eastAsia="方正小标宋简体" w:cs="黑体"/>
          <w:iCs/>
          <w:sz w:val="44"/>
          <w:szCs w:val="44"/>
          <w:lang w:eastAsia="zh-CN"/>
        </w:rPr>
        <w:t>和</w:t>
      </w:r>
      <w:r>
        <w:rPr>
          <w:rFonts w:hint="eastAsia" w:ascii="方正小标宋简体" w:hAnsi="黑体" w:eastAsia="方正小标宋简体" w:cs="黑体"/>
          <w:iCs/>
          <w:sz w:val="44"/>
          <w:szCs w:val="44"/>
        </w:rPr>
        <w:t>烟花</w:t>
      </w:r>
    </w:p>
    <w:p>
      <w:pPr>
        <w:spacing w:line="600" w:lineRule="exact"/>
        <w:jc w:val="center"/>
        <w:rPr>
          <w:rFonts w:hint="eastAsia" w:ascii="方正小标宋简体" w:hAnsi="黑体" w:eastAsia="方正小标宋简体" w:cs="黑体"/>
          <w:iCs/>
          <w:sz w:val="44"/>
          <w:szCs w:val="44"/>
        </w:rPr>
      </w:pPr>
      <w:r>
        <w:rPr>
          <w:rFonts w:hint="eastAsia" w:ascii="方正小标宋简体" w:hAnsi="黑体" w:eastAsia="方正小标宋简体" w:cs="黑体"/>
          <w:iCs/>
          <w:sz w:val="44"/>
          <w:szCs w:val="44"/>
        </w:rPr>
        <w:t>爆竹安全生产监管工作要点</w:t>
      </w:r>
    </w:p>
    <w:p>
      <w:pPr>
        <w:spacing w:line="600" w:lineRule="exact"/>
        <w:jc w:val="center"/>
        <w:rPr>
          <w:rFonts w:hint="eastAsia" w:ascii="方正小标宋简体" w:hAnsi="黑体" w:eastAsia="方正小标宋简体" w:cs="黑体"/>
          <w:iCs/>
          <w:sz w:val="44"/>
          <w:szCs w:val="44"/>
        </w:rPr>
      </w:pPr>
    </w:p>
    <w:p>
      <w:pPr>
        <w:spacing w:line="60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2024年全</w:t>
      </w:r>
      <w:r>
        <w:rPr>
          <w:rFonts w:hint="eastAsia" w:ascii="仿宋_GB2312" w:hAnsi="仿宋" w:eastAsia="仿宋_GB2312"/>
          <w:sz w:val="32"/>
          <w:szCs w:val="32"/>
          <w:lang w:eastAsia="zh-CN"/>
        </w:rPr>
        <w:t>区</w:t>
      </w:r>
      <w:r>
        <w:rPr>
          <w:rFonts w:hint="eastAsia" w:ascii="仿宋_GB2312" w:hAnsi="仿宋" w:eastAsia="仿宋_GB2312"/>
          <w:sz w:val="32"/>
          <w:szCs w:val="32"/>
        </w:rPr>
        <w:t>化工和危险化学品安全监管工作将以习近平总书记关于安全生产重要论述为指导，按照国家、省、市工作部署，坚持“一防四提升”（防范重大安全风险，提升本质安全水平、人员技能素质水平、信息化智能化管控水平、安全监管能力水平为措施和着力点，落实《</w:t>
      </w:r>
      <w:r>
        <w:rPr>
          <w:rFonts w:hint="eastAsia" w:ascii="仿宋_GB2312" w:hAnsi="仿宋" w:eastAsia="仿宋_GB2312"/>
          <w:sz w:val="32"/>
          <w:szCs w:val="32"/>
          <w:lang w:eastAsia="zh-CN"/>
        </w:rPr>
        <w:t>上党区</w:t>
      </w:r>
      <w:r>
        <w:rPr>
          <w:rFonts w:hint="eastAsia" w:ascii="仿宋_GB2312" w:hAnsi="仿宋" w:eastAsia="仿宋_GB2312"/>
          <w:sz w:val="32"/>
          <w:szCs w:val="32"/>
        </w:rPr>
        <w:t>化工和危险化学品安全生产治本攻坚三年行动实施方案（2024-2026年）》，紧紧围绕“推动企业主体责任落地生根，推进安全文化掷地有声，推动本质安全有效提升，细抓风险预判求准求精，狠抓安全管理痼疾顽症，提高隐患高质量整改的水平”（三推两抓一提高）工作主线，有效遏制较大以上事故发生，推动全</w:t>
      </w:r>
      <w:r>
        <w:rPr>
          <w:rFonts w:hint="eastAsia" w:ascii="仿宋_GB2312" w:hAnsi="仿宋" w:eastAsia="仿宋_GB2312"/>
          <w:sz w:val="32"/>
          <w:szCs w:val="32"/>
          <w:lang w:eastAsia="zh-CN"/>
        </w:rPr>
        <w:t>区</w:t>
      </w:r>
      <w:r>
        <w:rPr>
          <w:rFonts w:hint="eastAsia" w:ascii="仿宋_GB2312" w:hAnsi="仿宋" w:eastAsia="仿宋_GB2312"/>
          <w:sz w:val="32"/>
          <w:szCs w:val="32"/>
        </w:rPr>
        <w:t>化工和危险化学品安全生产形势平稳发展。</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一、推动企业主体责任落地生根</w:t>
      </w:r>
    </w:p>
    <w:p>
      <w:pPr>
        <w:ind w:firstLine="643" w:firstLineChars="200"/>
        <w:rPr>
          <w:rFonts w:hint="eastAsia" w:ascii="仿宋_GB2312" w:hAnsi="仿宋" w:eastAsia="仿宋_GB2312"/>
          <w:sz w:val="32"/>
          <w:szCs w:val="32"/>
        </w:rPr>
      </w:pPr>
      <w:r>
        <w:rPr>
          <w:rFonts w:hint="eastAsia" w:ascii="楷体_GB2312" w:hAnsi="仿宋" w:eastAsia="楷体_GB2312"/>
          <w:b/>
          <w:sz w:val="32"/>
          <w:szCs w:val="32"/>
        </w:rPr>
        <w:t>（一）聚焦重点人员安全素质提升和履职能力考核。</w:t>
      </w:r>
      <w:r>
        <w:rPr>
          <w:rFonts w:hint="eastAsia" w:ascii="仿宋_GB2312" w:hAnsi="仿宋" w:eastAsia="仿宋_GB2312"/>
          <w:sz w:val="32"/>
          <w:szCs w:val="32"/>
        </w:rPr>
        <w:t>企业主要负责人必须认真履责，不断提升安全领导力，将安全第一落实到制度中，并作出安全</w:t>
      </w:r>
      <w:bookmarkStart w:id="0" w:name="_GoBack"/>
      <w:bookmarkEnd w:id="0"/>
      <w:r>
        <w:rPr>
          <w:rFonts w:hint="eastAsia" w:ascii="仿宋_GB2312" w:hAnsi="仿宋" w:eastAsia="仿宋_GB2312"/>
          <w:sz w:val="32"/>
          <w:szCs w:val="32"/>
        </w:rPr>
        <w:t>承诺。强化“关键少数”安全执行力提升，严格分管负责人、专职安全管理人员和“两重点一重大”操作人员准入资质。企业各级领导，特别是关键装置及重点部位联系人、重大危险源包保责任人要建立个人行动计划，定期深入现场，了解和掌握安全生产现状，研究解决安全生产问题。要建立检验培训成效的“常态化考核和不定期抽考”制度，主要负责人要组织制定并推动实施安全技能提升培训计划，按照看得懂、记得住、用得上原则，开发分层次、分专业、分岗位的培训教育体系。要分岗位对全体员工考核，考核不合格的，按照新上岗人员培训标准</w:t>
      </w:r>
      <w:r>
        <w:rPr>
          <w:rFonts w:hint="eastAsia" w:ascii="仿宋_GB2312" w:hAnsi="仿宋" w:eastAsia="仿宋_GB2312"/>
          <w:sz w:val="32"/>
          <w:szCs w:val="32"/>
          <w:lang w:val="en-US" w:eastAsia="zh-CN"/>
        </w:rPr>
        <w:t>脱产</w:t>
      </w:r>
      <w:r>
        <w:rPr>
          <w:rFonts w:hint="eastAsia" w:ascii="仿宋_GB2312" w:hAnsi="仿宋" w:eastAsia="仿宋_GB2312"/>
          <w:sz w:val="32"/>
          <w:szCs w:val="32"/>
        </w:rPr>
        <w:t>培训，考核合格后再上岗。监管部门要将抽查企业主要负责人安全领导力、企业培训计划、持证情况、抽考安全生产常识作为执法重要内容和安全生产标准化评审重点。</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（二）推动企业建立自我监管机制。</w:t>
      </w:r>
      <w:r>
        <w:rPr>
          <w:rFonts w:hint="eastAsia" w:ascii="仿宋_GB2312" w:hAnsi="仿宋" w:eastAsia="仿宋_GB2312"/>
          <w:sz w:val="32"/>
          <w:szCs w:val="32"/>
        </w:rPr>
        <w:t>企业要建立自我监管机制和内审制度，加强内部管理水平，坚决纠正企业风险隐患排查“等靠要”的形式主义，坚决纠正企业盲目将双重预防“两个清单”、HAZOP分析报告、安全风险评估报告、试生产方案、应急预案等全权委托第三方的做法，将风险辨识、削减和终止环节的管理责任转嫁给第三方，以应付监管部门检查执法，坚决推动企业落实主体责任，提高“主人翁”责任认知意愿和履责能力水平。</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二、推进安全文化掷地有声</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三</w:t>
      </w:r>
      <w:r>
        <w:rPr>
          <w:rFonts w:hint="eastAsia" w:ascii="楷体_GB2312" w:hAnsi="仿宋" w:eastAsia="楷体_GB2312"/>
          <w:b/>
          <w:sz w:val="32"/>
          <w:szCs w:val="32"/>
        </w:rPr>
        <w:t>）推进先进安全文化体系建设。</w:t>
      </w:r>
      <w:r>
        <w:rPr>
          <w:rFonts w:hint="eastAsia" w:ascii="仿宋_GB2312" w:hAnsi="仿宋" w:eastAsia="仿宋_GB2312"/>
          <w:sz w:val="32"/>
          <w:szCs w:val="32"/>
        </w:rPr>
        <w:t>深刻认识人的因素在安全生产中的主导和核心作用，主要负责人要通过安全文化体系建设，引导从业人员树立先进的安全生产理念、建立风险意识、规范安全行为，参照《化工过程安全管理导则》《企业安全文化建设导则》等建设步骤，制定行之有效的安全文化建设计划或方案，建立包括安全精神文化、制度文化、执行文化、保障文化等在内的安全文化体系。</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四</w:t>
      </w:r>
      <w:r>
        <w:rPr>
          <w:rFonts w:hint="eastAsia" w:ascii="楷体_GB2312" w:hAnsi="仿宋" w:eastAsia="楷体_GB2312"/>
          <w:b/>
          <w:sz w:val="32"/>
          <w:szCs w:val="32"/>
        </w:rPr>
        <w:t>）激活安全行动文化氛围。</w:t>
      </w:r>
      <w:r>
        <w:rPr>
          <w:rFonts w:hint="eastAsia" w:ascii="仿宋_GB2312" w:hAnsi="仿宋" w:eastAsia="仿宋_GB2312"/>
          <w:sz w:val="32"/>
          <w:szCs w:val="32"/>
        </w:rPr>
        <w:t>要充分利用领导率先垂范、教育、宣传、奖惩、创建群体氛围等手段，将安全文化体现在企业生产经营所涉及的安全文明生产环境与秩序、制度建设、行为形态和精神形态的不同层级上，让安全文化“入眼、入耳、入心、化形”。</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五</w:t>
      </w:r>
      <w:r>
        <w:rPr>
          <w:rFonts w:hint="eastAsia" w:ascii="楷体_GB2312" w:hAnsi="仿宋" w:eastAsia="楷体_GB2312"/>
          <w:b/>
          <w:sz w:val="32"/>
          <w:szCs w:val="32"/>
        </w:rPr>
        <w:t>）持续深化安全文化保障。</w:t>
      </w:r>
      <w:r>
        <w:rPr>
          <w:rFonts w:hint="eastAsia" w:ascii="仿宋_GB2312" w:hAnsi="仿宋" w:eastAsia="仿宋_GB2312"/>
          <w:sz w:val="32"/>
          <w:szCs w:val="32"/>
        </w:rPr>
        <w:t>企业主要负责人要发挥率先垂范的核心作用、“关键少数”的堡垒效应，做好安全精神文化引领，要通过制度考核和奖励机制，深化安全制度文化保障，在全面加大安全投入营造硬环境氛围的同时，要注重人文管理、团队文化、承诺文化等软环境氛围的培育，确保企业运用安全文化手段弥补安全管理手段不能彻底改变人的不安全行为的先天不足，做到“知行合一”，实现习惯性违章向自发性守规的转变。</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三、推动本质安全有效提升</w:t>
      </w:r>
    </w:p>
    <w:p>
      <w:pPr>
        <w:ind w:firstLine="643" w:firstLineChars="200"/>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六</w:t>
      </w:r>
      <w:r>
        <w:rPr>
          <w:rFonts w:hint="eastAsia" w:ascii="楷体_GB2312" w:hAnsi="仿宋" w:eastAsia="楷体_GB2312"/>
          <w:b/>
          <w:sz w:val="32"/>
          <w:szCs w:val="32"/>
        </w:rPr>
        <w:t>）推进安全工艺技术设备更新升级工程。</w:t>
      </w:r>
      <w:r>
        <w:rPr>
          <w:rFonts w:hint="eastAsia" w:ascii="仿宋_GB2312" w:hAnsi="仿宋" w:eastAsia="仿宋_GB2312"/>
          <w:sz w:val="32"/>
          <w:szCs w:val="32"/>
        </w:rPr>
        <w:t>按照《淘汰落后危险化学品安全生产工艺技术设备目录》，全面推动企业实施限期整改提升。对建成时间长、安全风险高的常压储罐实施改造提升。2024年底前，油气存储企业全面完成气体检测、紧急切断、视频监控、雷电预警“四个系统”配备投用。</w:t>
      </w:r>
    </w:p>
    <w:p>
      <w:pPr>
        <w:ind w:firstLine="643" w:firstLineChars="200"/>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七</w:t>
      </w:r>
      <w:r>
        <w:rPr>
          <w:rFonts w:hint="eastAsia" w:ascii="楷体_GB2312" w:hAnsi="仿宋" w:eastAsia="楷体_GB2312"/>
          <w:b/>
          <w:sz w:val="32"/>
          <w:szCs w:val="32"/>
        </w:rPr>
        <w:t>）全面推动提升重点企业安全监管的数字化、智能化水平。</w:t>
      </w:r>
      <w:r>
        <w:rPr>
          <w:rFonts w:hint="eastAsia" w:ascii="仿宋_GB2312" w:hAnsi="仿宋" w:eastAsia="仿宋_GB2312"/>
          <w:sz w:val="32"/>
          <w:szCs w:val="32"/>
        </w:rPr>
        <w:t>要着力提升安全监管数字化能力，在危险化学品安全风险监测预警系统应用基础上进一步扩大企业监测联网覆盖范围，综合运用各类技术手段提升对企业违规违法生产行为的监测预警能力。要加强对重大危险源企业的督促指导，拓展双重预防机制数字化系统建用，统筹建立完善智能巡检、特殊作业许可与作业管理系统、人员定位系统（包含人员聚集风险监测预警功能）的数字化管控手段。要开展探索创新试点，综合运用气体泄漏光谱、声学监测技术等先进手段实现对重大危险源、关键装置、重点场所的实时风险监控预警，充分利用数字化手段推动危化品重点企业安全监管模式向事前预防转型。</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四、细抓风险预判机制建设</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八</w:t>
      </w:r>
      <w:r>
        <w:rPr>
          <w:rFonts w:hint="eastAsia" w:ascii="楷体_GB2312" w:hAnsi="仿宋" w:eastAsia="楷体_GB2312"/>
          <w:b/>
          <w:sz w:val="32"/>
          <w:szCs w:val="32"/>
        </w:rPr>
        <w:t>）加强节假日、重要活动等特殊时段安全生产工作。</w:t>
      </w:r>
      <w:r>
        <w:rPr>
          <w:rFonts w:hint="eastAsia" w:ascii="仿宋_GB2312" w:hAnsi="仿宋" w:eastAsia="仿宋_GB2312"/>
          <w:sz w:val="32"/>
          <w:szCs w:val="32"/>
        </w:rPr>
        <w:t>深刻汲取重要节假日、重要活动等历史同期各类典型事故教训，认真组织开展事故警示教育和类比检查，科学研判管控原辅材料、备品备件、检维修力量、应急力量不足等安全生产风险，紧盯试生产、检维修和特殊作业、复工复产等重点环节安全风险防控，组织开展特殊时段安全风险隐患排查治理和应急演练，不断健全完善特殊时段异常情况处置机制。</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九</w:t>
      </w:r>
      <w:r>
        <w:rPr>
          <w:rFonts w:hint="eastAsia" w:ascii="楷体_GB2312" w:hAnsi="仿宋" w:eastAsia="楷体_GB2312"/>
          <w:b/>
          <w:sz w:val="32"/>
          <w:szCs w:val="32"/>
        </w:rPr>
        <w:t>）全面推广安全风险预判管控制度。</w:t>
      </w:r>
      <w:r>
        <w:rPr>
          <w:rFonts w:hint="eastAsia" w:ascii="仿宋_GB2312" w:hAnsi="仿宋" w:eastAsia="仿宋_GB2312"/>
          <w:sz w:val="32"/>
          <w:szCs w:val="32"/>
        </w:rPr>
        <w:t>企业主要负责人为本单位安全生产风险预判管控第一责任人，要亲自带头参与风险预判管控工作，健全完善安全风险管理制度，全面实施“每日风险研判承诺和每月风险预判管控”制度，明确风险可接受标准、预判方法、范围、预判和管控责任人、周期、管控措施，要做到“五个全覆盖”（所有生产区域全覆盖、所有生产作业活动全覆盖、所有涉及的系统全覆盖、所有设施设备全覆盖、所有班组和员工全覆盖），要按照“管业务必须管安全”的原则，明确工艺、设备、电气、仪表、消防、安全等专业部门对所辖业务的安全风险预判管控职责，增强安全生产工作的前瞻性、科学性、精准性。</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w:t>
      </w:r>
      <w:r>
        <w:rPr>
          <w:rFonts w:hint="eastAsia" w:ascii="楷体_GB2312" w:hAnsi="仿宋" w:eastAsia="楷体_GB2312"/>
          <w:b/>
          <w:sz w:val="32"/>
          <w:szCs w:val="32"/>
        </w:rPr>
        <w:t>）严格管控重大安全风险。</w:t>
      </w:r>
      <w:r>
        <w:rPr>
          <w:rFonts w:hint="eastAsia" w:ascii="仿宋_GB2312" w:hAnsi="仿宋" w:eastAsia="仿宋_GB2312"/>
          <w:sz w:val="32"/>
          <w:szCs w:val="32"/>
        </w:rPr>
        <w:t>组织开展重大危险源企业“消地协作”专项检查督导，压实企业重大危险源安全包保和安全风险承诺公告责任。</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（十</w:t>
      </w:r>
      <w:r>
        <w:rPr>
          <w:rFonts w:hint="eastAsia" w:ascii="楷体_GB2312" w:hAnsi="仿宋" w:eastAsia="楷体_GB2312"/>
          <w:b/>
          <w:sz w:val="32"/>
          <w:szCs w:val="32"/>
          <w:lang w:eastAsia="zh-CN"/>
        </w:rPr>
        <w:t>一</w:t>
      </w:r>
      <w:r>
        <w:rPr>
          <w:rFonts w:hint="eastAsia" w:ascii="楷体_GB2312" w:hAnsi="仿宋" w:eastAsia="楷体_GB2312"/>
          <w:b/>
          <w:sz w:val="32"/>
          <w:szCs w:val="32"/>
        </w:rPr>
        <w:t>）聚焦变化环节的安全风险防控。</w:t>
      </w:r>
      <w:r>
        <w:rPr>
          <w:rFonts w:hint="eastAsia" w:ascii="仿宋_GB2312" w:hAnsi="仿宋" w:eastAsia="仿宋_GB2312"/>
          <w:sz w:val="32"/>
          <w:szCs w:val="32"/>
        </w:rPr>
        <w:t>企业要严格试生产和检维修作业前安全条件确认，不具备条件不得开车和作业。要加强异常工况研判，强化风险辨识意识和能力水平，完善紧急处置程序，严格储罐堆场、异常工况处置、受限空间作业和人员聚集风险管控。要常态化打击“三违”行为，健全完善安全生产管理制度和操作规程，严肃整治违章指挥、违章作业、违反劳动纪律行为。严格排查“不放心班组”和“不放心人员”，大幅减少“三违”行为发生。要进一步强化承包商管理，严把承包商资质业绩准入、培训教育、现场管理各环节风险。</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五、狠抓安全管理水平提档升级</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十二</w:t>
      </w:r>
      <w:r>
        <w:rPr>
          <w:rFonts w:hint="eastAsia" w:ascii="楷体_GB2312" w:hAnsi="仿宋" w:eastAsia="楷体_GB2312"/>
          <w:b/>
          <w:sz w:val="32"/>
          <w:szCs w:val="32"/>
        </w:rPr>
        <w:t>）化工和危险化学品企业安全生产标准化创建提档。</w:t>
      </w:r>
      <w:r>
        <w:rPr>
          <w:rFonts w:hint="eastAsia" w:ascii="仿宋_GB2312" w:hAnsi="仿宋" w:eastAsia="仿宋_GB2312"/>
          <w:sz w:val="32"/>
          <w:szCs w:val="32"/>
        </w:rPr>
        <w:t>已达标安全标准化企业要持续提升标准化管理水平，全面完成年度安全生产各项重点工作任务；重大危险源的</w:t>
      </w:r>
      <w:r>
        <w:rPr>
          <w:rFonts w:hint="eastAsia" w:ascii="仿宋_GB2312" w:hAnsi="仿宋" w:eastAsia="仿宋_GB2312"/>
          <w:sz w:val="32"/>
          <w:szCs w:val="32"/>
          <w:lang w:eastAsia="zh-CN"/>
        </w:rPr>
        <w:t>中国石油油库</w:t>
      </w:r>
      <w:r>
        <w:rPr>
          <w:rFonts w:hint="eastAsia" w:ascii="仿宋_GB2312" w:hAnsi="仿宋" w:eastAsia="仿宋_GB2312"/>
          <w:sz w:val="32"/>
          <w:szCs w:val="32"/>
        </w:rPr>
        <w:t>要</w:t>
      </w:r>
      <w:r>
        <w:rPr>
          <w:rFonts w:hint="eastAsia" w:ascii="仿宋_GB2312" w:hAnsi="仿宋" w:eastAsia="仿宋_GB2312"/>
          <w:sz w:val="32"/>
          <w:szCs w:val="32"/>
          <w:lang w:eastAsia="zh-CN"/>
        </w:rPr>
        <w:t>在</w:t>
      </w:r>
      <w:r>
        <w:rPr>
          <w:rFonts w:hint="eastAsia" w:ascii="仿宋_GB2312" w:hAnsi="仿宋" w:eastAsia="仿宋_GB2312"/>
          <w:sz w:val="32"/>
          <w:szCs w:val="32"/>
          <w:lang w:val="en-US" w:eastAsia="zh-CN"/>
        </w:rPr>
        <w:t>2024年低</w:t>
      </w:r>
      <w:r>
        <w:rPr>
          <w:rFonts w:hint="eastAsia" w:ascii="仿宋_GB2312" w:hAnsi="仿宋" w:eastAsia="仿宋_GB2312"/>
          <w:sz w:val="32"/>
          <w:szCs w:val="32"/>
        </w:rPr>
        <w:t>完成二级达标创建工作，</w:t>
      </w:r>
      <w:r>
        <w:rPr>
          <w:rFonts w:hint="eastAsia" w:ascii="仿宋_GB2312" w:hAnsi="仿宋" w:eastAsia="仿宋_GB2312"/>
          <w:sz w:val="32"/>
          <w:szCs w:val="32"/>
          <w:lang w:eastAsia="zh-CN"/>
        </w:rPr>
        <w:t>推动部分加油站</w:t>
      </w:r>
      <w:r>
        <w:rPr>
          <w:rFonts w:hint="eastAsia" w:ascii="仿宋_GB2312" w:hAnsi="仿宋" w:eastAsia="仿宋_GB2312"/>
          <w:sz w:val="32"/>
          <w:szCs w:val="32"/>
        </w:rPr>
        <w:t>积极开展二级</w:t>
      </w:r>
      <w:r>
        <w:rPr>
          <w:rFonts w:hint="eastAsia" w:ascii="仿宋_GB2312" w:hAnsi="仿宋" w:eastAsia="仿宋_GB2312"/>
          <w:sz w:val="32"/>
          <w:szCs w:val="32"/>
          <w:lang w:val="en-US" w:eastAsia="zh-CN"/>
        </w:rPr>
        <w:t>标准化</w:t>
      </w:r>
      <w:r>
        <w:rPr>
          <w:rFonts w:hint="eastAsia" w:ascii="仿宋_GB2312" w:hAnsi="仿宋" w:eastAsia="仿宋_GB2312"/>
          <w:sz w:val="32"/>
          <w:szCs w:val="32"/>
        </w:rPr>
        <w:t>创建工作；</w:t>
      </w:r>
      <w:r>
        <w:rPr>
          <w:rFonts w:hint="eastAsia" w:ascii="仿宋_GB2312" w:hAnsi="仿宋" w:eastAsia="仿宋_GB2312"/>
          <w:sz w:val="32"/>
          <w:szCs w:val="32"/>
          <w:lang w:eastAsia="zh-CN"/>
        </w:rPr>
        <w:t>新建</w:t>
      </w:r>
      <w:r>
        <w:rPr>
          <w:rFonts w:hint="eastAsia" w:ascii="仿宋_GB2312" w:hAnsi="仿宋" w:eastAsia="仿宋_GB2312"/>
          <w:sz w:val="32"/>
          <w:szCs w:val="32"/>
        </w:rPr>
        <w:t>企业要在取得安全生产</w:t>
      </w:r>
      <w:r>
        <w:rPr>
          <w:rFonts w:hint="eastAsia" w:ascii="仿宋_GB2312" w:hAnsi="仿宋" w:eastAsia="仿宋_GB2312"/>
          <w:sz w:val="32"/>
          <w:szCs w:val="32"/>
          <w:lang w:eastAsia="zh-CN"/>
        </w:rPr>
        <w:t>（经营）</w:t>
      </w:r>
      <w:r>
        <w:rPr>
          <w:rFonts w:hint="eastAsia" w:ascii="仿宋_GB2312" w:hAnsi="仿宋" w:eastAsia="仿宋_GB2312"/>
          <w:sz w:val="32"/>
          <w:szCs w:val="32"/>
        </w:rPr>
        <w:t>许可证半年内完成安全生产标准化的创建</w:t>
      </w:r>
      <w:r>
        <w:rPr>
          <w:rFonts w:hint="eastAsia" w:ascii="仿宋_GB2312" w:hAnsi="仿宋" w:eastAsia="仿宋_GB2312"/>
          <w:sz w:val="32"/>
          <w:szCs w:val="32"/>
          <w:lang w:eastAsia="zh-CN"/>
        </w:rPr>
        <w:t>工作</w:t>
      </w:r>
      <w:r>
        <w:rPr>
          <w:rFonts w:hint="eastAsia" w:ascii="仿宋_GB2312" w:hAnsi="仿宋" w:eastAsia="仿宋_GB2312"/>
          <w:sz w:val="32"/>
          <w:szCs w:val="32"/>
        </w:rPr>
        <w:t>；对未达到安全生产标准化等级危险化学品</w:t>
      </w:r>
      <w:r>
        <w:rPr>
          <w:rFonts w:hint="eastAsia" w:ascii="仿宋_GB2312" w:hAnsi="仿宋" w:eastAsia="仿宋_GB2312"/>
          <w:sz w:val="32"/>
          <w:szCs w:val="32"/>
          <w:lang w:eastAsia="zh-CN"/>
        </w:rPr>
        <w:t>、医药生产</w:t>
      </w:r>
      <w:r>
        <w:rPr>
          <w:rFonts w:hint="eastAsia" w:ascii="仿宋_GB2312" w:hAnsi="仿宋" w:eastAsia="仿宋_GB2312"/>
          <w:sz w:val="32"/>
          <w:szCs w:val="32"/>
        </w:rPr>
        <w:t>企业要划分为B类、较大风险企业，从严监管。</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（十</w:t>
      </w:r>
      <w:r>
        <w:rPr>
          <w:rFonts w:hint="eastAsia" w:ascii="楷体_GB2312" w:hAnsi="仿宋" w:eastAsia="楷体_GB2312"/>
          <w:b/>
          <w:sz w:val="32"/>
          <w:szCs w:val="32"/>
          <w:lang w:eastAsia="zh-CN"/>
        </w:rPr>
        <w:t>三</w:t>
      </w:r>
      <w:r>
        <w:rPr>
          <w:rFonts w:hint="eastAsia" w:ascii="楷体_GB2312" w:hAnsi="仿宋" w:eastAsia="楷体_GB2312"/>
          <w:b/>
          <w:sz w:val="32"/>
          <w:szCs w:val="32"/>
        </w:rPr>
        <w:t>）持续开展“打非治违”整治和常态化抓典型。</w:t>
      </w:r>
      <w:r>
        <w:rPr>
          <w:rFonts w:hint="eastAsia" w:ascii="仿宋_GB2312" w:hAnsi="仿宋" w:eastAsia="仿宋_GB2312"/>
          <w:sz w:val="32"/>
          <w:szCs w:val="32"/>
        </w:rPr>
        <w:t>坚持依法治理，对非法违法生产经营建设行为、未批先建、边建边批、不具备安全生产条件违规生产经营行为实施“一案双罚”，对生产作业过程中违反有关管理的规定，具有现实危险的行为采取行刑衔接机制，增加对违法违规行为的惩处力度。对事故多发、重大隐患重复出现、督导检查、专家指导服务等工作中发现的严重违法行为进行督办交办、约谈通报、集中曝光、严肃问责。</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十四</w:t>
      </w:r>
      <w:r>
        <w:rPr>
          <w:rFonts w:hint="eastAsia" w:ascii="楷体_GB2312" w:hAnsi="仿宋" w:eastAsia="楷体_GB2312"/>
          <w:b/>
          <w:sz w:val="32"/>
          <w:szCs w:val="32"/>
        </w:rPr>
        <w:t>）坚持以专家指导服务助力提升专业监管能力水平。</w:t>
      </w:r>
      <w:r>
        <w:rPr>
          <w:rFonts w:hint="eastAsia" w:ascii="仿宋_GB2312" w:hAnsi="仿宋" w:eastAsia="仿宋_GB2312"/>
          <w:sz w:val="32"/>
          <w:szCs w:val="32"/>
        </w:rPr>
        <w:t>进一步实行严格的筛选机制，选拔聘用一批具有专业水准、职业素养的专家团队，严把行业专家准入关，充分发挥行业专家、企业技安人员等作用，边查隐患边宣讲，以服务带培训、以指导提能力的方式，不断提升监管人员的执法专业性水平。</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十五</w:t>
      </w:r>
      <w:r>
        <w:rPr>
          <w:rFonts w:hint="eastAsia" w:ascii="楷体_GB2312" w:hAnsi="仿宋" w:eastAsia="楷体_GB2312"/>
          <w:b/>
          <w:sz w:val="32"/>
          <w:szCs w:val="32"/>
        </w:rPr>
        <w:t>）加强烟花爆竹“五禁”</w:t>
      </w:r>
      <w:r>
        <w:rPr>
          <w:rFonts w:hint="eastAsia" w:ascii="楷体_GB2312" w:hAnsi="仿宋" w:eastAsia="楷体_GB2312"/>
          <w:b/>
          <w:sz w:val="32"/>
          <w:szCs w:val="32"/>
          <w:lang w:eastAsia="zh-CN"/>
        </w:rPr>
        <w:t>工作</w:t>
      </w:r>
      <w:r>
        <w:rPr>
          <w:rFonts w:hint="eastAsia" w:ascii="楷体_GB2312" w:hAnsi="仿宋" w:eastAsia="楷体_GB2312"/>
          <w:b/>
          <w:sz w:val="32"/>
          <w:szCs w:val="32"/>
        </w:rPr>
        <w:t>。</w:t>
      </w:r>
      <w:r>
        <w:rPr>
          <w:rFonts w:hint="eastAsia" w:ascii="仿宋_GB2312" w:hAnsi="仿宋" w:eastAsia="仿宋_GB2312"/>
          <w:sz w:val="32"/>
          <w:szCs w:val="32"/>
        </w:rPr>
        <w:t>会同有关部门严厉打击烟花爆竹非法生产、非法销售、非法储存等行为。</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六、全面实施隐患高质量整改</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十六</w:t>
      </w:r>
      <w:r>
        <w:rPr>
          <w:rFonts w:hint="eastAsia" w:ascii="楷体_GB2312" w:hAnsi="仿宋" w:eastAsia="楷体_GB2312"/>
          <w:b/>
          <w:sz w:val="32"/>
          <w:szCs w:val="32"/>
        </w:rPr>
        <w:t>）坚持问题导向、靶向发力，坚决纠治隐患整改的形式主义。</w:t>
      </w:r>
      <w:r>
        <w:rPr>
          <w:rFonts w:hint="eastAsia" w:ascii="仿宋_GB2312" w:hAnsi="仿宋" w:eastAsia="仿宋_GB2312"/>
          <w:sz w:val="32"/>
          <w:szCs w:val="32"/>
        </w:rPr>
        <w:t>全面落实“源头上分析、系统上排查、根本上整改”的理念，针对各级监管部门发现的问题隐患要深挖根源、精准施策，对隐患发生的原因要进行“七溯源一分析”（责任溯源、标准溯源、能力溯源、管理溯源、制度溯源、考评溯源、资源溯源和本质安全分析），全面实施隐患源头治理、高质量整改“五步法”，不断强化安全管理人员的“六种意识”（风险、责任、问题、标准、规范、系统意识），锤炼合理机制和体制建设能力、应对变化能力、风险预判管控能力、发现问题能力、高质量整改能力、汲取事故教训能力、应急避险能力、群众工作能力、重大灾害治理能力及现场管理、统筹协调及创新能力、落实和执行能力。</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十七</w:t>
      </w:r>
      <w:r>
        <w:rPr>
          <w:rFonts w:hint="eastAsia" w:ascii="楷体_GB2312" w:hAnsi="仿宋" w:eastAsia="楷体_GB2312"/>
          <w:b/>
          <w:sz w:val="32"/>
          <w:szCs w:val="32"/>
        </w:rPr>
        <w:t>）完善“谁检查、谁签名、谁负责”的责任倒查机制。</w:t>
      </w:r>
      <w:r>
        <w:rPr>
          <w:rFonts w:hint="eastAsia" w:ascii="仿宋_GB2312" w:hAnsi="仿宋" w:eastAsia="仿宋_GB2312"/>
          <w:sz w:val="32"/>
          <w:szCs w:val="32"/>
        </w:rPr>
        <w:t>加强专业安全基础管理水平，切实解决同一隐患重复出现、对事故隐患避而不查或避重就轻、查出却没有盯着整改等问题，着力提升企业各专业安全技术人员发现问题和解决问题的强烈意愿和能力水平。</w:t>
      </w:r>
    </w:p>
    <w:p>
      <w:pPr>
        <w:spacing w:line="600" w:lineRule="exact"/>
        <w:ind w:firstLine="640" w:firstLineChars="200"/>
        <w:textAlignment w:val="center"/>
        <w:rPr>
          <w:rFonts w:hint="eastAsia" w:ascii="黑体" w:hAnsi="仿宋" w:eastAsia="黑体"/>
          <w:sz w:val="32"/>
          <w:szCs w:val="32"/>
        </w:rPr>
      </w:pPr>
      <w:r>
        <w:rPr>
          <w:rFonts w:hint="eastAsia" w:ascii="黑体" w:hAnsi="仿宋" w:eastAsia="黑体"/>
          <w:sz w:val="32"/>
          <w:szCs w:val="32"/>
        </w:rPr>
        <w:t>七、加强应急力量建设，提高应急处突能力</w:t>
      </w:r>
    </w:p>
    <w:p>
      <w:pPr>
        <w:spacing w:line="600" w:lineRule="exact"/>
        <w:ind w:firstLine="643" w:firstLineChars="200"/>
        <w:textAlignment w:val="center"/>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十八</w:t>
      </w:r>
      <w:r>
        <w:rPr>
          <w:rFonts w:hint="eastAsia" w:ascii="楷体_GB2312" w:hAnsi="仿宋" w:eastAsia="楷体_GB2312"/>
          <w:b/>
          <w:sz w:val="32"/>
          <w:szCs w:val="32"/>
        </w:rPr>
        <w:t>）加强应急处突能力建设。</w:t>
      </w:r>
      <w:r>
        <w:rPr>
          <w:rFonts w:hint="eastAsia" w:ascii="仿宋_GB2312" w:hAnsi="仿宋" w:eastAsia="仿宋_GB2312"/>
          <w:sz w:val="32"/>
          <w:szCs w:val="32"/>
        </w:rPr>
        <w:t>要结合实际建强应急救援体系，强化应急科学指挥，打造“专业救援+全员自救”力量建设，加强信息报告和监测预警，组织开展风险研判、个体防护、应急处置等基本技能培训演练，提高基层员工的风险防范意识和自救互救能力。</w:t>
      </w:r>
    </w:p>
    <w:p>
      <w:pPr>
        <w:ind w:firstLine="643" w:firstLineChars="200"/>
        <w:rPr>
          <w:rFonts w:hint="eastAsia" w:ascii="仿宋_GB2312" w:hAnsi="仿宋" w:eastAsia="仿宋_GB2312"/>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十九</w:t>
      </w:r>
      <w:r>
        <w:rPr>
          <w:rFonts w:hint="eastAsia" w:ascii="楷体_GB2312" w:hAnsi="仿宋" w:eastAsia="楷体_GB2312"/>
          <w:b/>
          <w:sz w:val="32"/>
          <w:szCs w:val="32"/>
        </w:rPr>
        <w:t>）健全完善应急预案体系。</w:t>
      </w:r>
      <w:r>
        <w:rPr>
          <w:rFonts w:hint="eastAsia" w:ascii="仿宋_GB2312" w:hAnsi="仿宋" w:eastAsia="仿宋_GB2312"/>
          <w:sz w:val="32"/>
          <w:szCs w:val="32"/>
        </w:rPr>
        <w:t>坚持生命至上，压实应急救援组织责任，完善协调联动机制，紧扣预警响应、研判部署、抢险救援等关键环节，以练促防、以练强能、以练促改，有效检验应急预案的科学性和可操作性，着力提升危化品事故防范应对能力。</w:t>
      </w: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jc w:val="both"/>
        <w:rPr>
          <w:rFonts w:hint="eastAsia"/>
        </w:rPr>
      </w:pPr>
    </w:p>
    <w:p>
      <w:pPr>
        <w:rPr>
          <w:lang w:val="en-US"/>
        </w:rPr>
      </w:pPr>
    </w:p>
    <w:p>
      <w:pPr>
        <w:spacing w:line="560" w:lineRule="exact"/>
        <w:ind w:firstLine="280" w:firstLineChars="100"/>
        <w:rPr>
          <w:rFonts w:hint="eastAsia"/>
          <w:lang w:val="en-US"/>
        </w:rPr>
      </w:pPr>
      <w:r>
        <w:rPr>
          <w:rFonts w:ascii="仿宋" w:hAnsi="仿宋" w:eastAsia="仿宋" w:cs="Times New Roman"/>
          <w:kern w:val="2"/>
          <w:sz w:val="28"/>
          <w:szCs w:val="28"/>
          <w:lang w:val="en-US" w:eastAsia="zh-CN" w:bidi="ar-SA"/>
        </w:rPr>
        <w:pict>
          <v:line id="直线 39" o:spid="_x0000_s1027" style="position:absolute;left:0;margin-left:-9.75pt;margin-top:31.75pt;height:0.05pt;width:440.95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仿宋" w:hAnsi="仿宋" w:eastAsia="仿宋" w:cs="Times New Roman"/>
          <w:kern w:val="2"/>
          <w:sz w:val="28"/>
          <w:szCs w:val="28"/>
          <w:lang w:val="en-US" w:eastAsia="zh-CN" w:bidi="ar-SA"/>
        </w:rPr>
        <w:pict>
          <v:line id="直线 40" o:spid="_x0000_s1028" style="position:absolute;left:0;flip:y;margin-left:-8.75pt;margin-top:1.75pt;height:0.95pt;width:440.95pt;rotation:0f;z-index:2516582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仿宋" w:hAnsi="仿宋" w:eastAsia="仿宋"/>
          <w:sz w:val="28"/>
          <w:szCs w:val="28"/>
        </w:rPr>
        <w:t xml:space="preserve">长治市上党区应急管理局办公室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日印发</w:t>
      </w:r>
    </w:p>
    <w:p>
      <w:pPr>
        <w:rPr>
          <w:rFonts w:hint="eastAsia"/>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shape id="文本框 3" o:spid="_x0000_s1025"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RlNDlhMjE0NmM4ZTljZmEwNDdmNzc2NTkwMGU1OTMifQ=="/>
  </w:docVars>
  <w:rsids>
    <w:rsidRoot w:val="463457DD"/>
    <w:rsid w:val="158F3748"/>
    <w:rsid w:val="463457DD"/>
    <w:rsid w:val="4EAF6FA4"/>
    <w:rsid w:val="649C5F2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560" w:lineRule="exact"/>
      <w:outlineLvl w:val="0"/>
    </w:pPr>
    <w:rPr>
      <w:rFonts w:hint="eastAsia" w:ascii="宋体" w:hAnsi="宋体" w:eastAsia="楷体" w:cs="Times New Roman"/>
      <w:kern w:val="44"/>
      <w:szCs w:val="48"/>
    </w:rPr>
  </w:style>
  <w:style w:type="character" w:default="1" w:styleId="7">
    <w:name w:val="Default Paragraph Font"/>
    <w:semiHidden/>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rPr>
  </w:style>
  <w:style w:type="paragraph" w:styleId="4">
    <w:name w:val="table of authorities"/>
    <w:basedOn w:val="1"/>
    <w:next w:val="1"/>
    <w:uiPriority w:val="0"/>
    <w:pPr>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2024-03-26T01:53:00Z</dcterms:created>
  <dc:creator>不瘦到一百零一斤不改名</dc:creator>
  <cp:lastModifiedBy>Administrator</cp:lastModifiedBy>
  <cp:lastPrinted>2024-03-27T09:33:18Z</cp:lastPrinted>
  <dcterms:modified xsi:type="dcterms:W3CDTF">2024-03-27T09:36:12Z</dcterms:modified>
  <dc:title>长上应急字〔2024〕22号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y fmtid="{D5CDD505-2E9C-101B-9397-08002B2CF9AE}" pid="3" name="ICV">
    <vt:lpwstr>232BB3452D104B4C8EE61CAA3075EDFD_11</vt:lpwstr>
  </property>
</Properties>
</file>