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autoSpaceDN w:val="0"/>
        <w:snapToGrid w:val="0"/>
        <w:spacing w:line="620" w:lineRule="exact"/>
        <w:rPr>
          <w:rFonts w:hint="eastAsia" w:ascii="??_GB2312" w:hAnsi="??_GB2312" w:eastAsia="宋体"/>
          <w:sz w:val="10"/>
          <w:szCs w:val="10"/>
          <w:lang w:val="en-US" w:eastAsia="zh-CN"/>
        </w:rPr>
      </w:pPr>
      <w:r>
        <w:rPr>
          <w:rFonts w:hint="eastAsia" w:ascii="??_GB2312" w:hAnsi="??_GB2312" w:eastAsia="宋体"/>
          <w:sz w:val="10"/>
          <w:szCs w:val="10"/>
          <w:lang w:val="en-US" w:eastAsia="zh-CN"/>
        </w:rPr>
        <w:t xml:space="preserve"> </w:t>
      </w:r>
    </w:p>
    <w:p>
      <w:pPr>
        <w:pStyle w:val="15"/>
        <w:autoSpaceDN w:val="0"/>
        <w:snapToGrid w:val="0"/>
        <w:spacing w:line="620" w:lineRule="exact"/>
        <w:rPr>
          <w:rFonts w:ascii="??_GB2312" w:hAnsi="??_GB2312"/>
          <w:sz w:val="32"/>
          <w:szCs w:val="32"/>
        </w:rPr>
      </w:pPr>
    </w:p>
    <w:p>
      <w:pPr>
        <w:pStyle w:val="15"/>
        <w:autoSpaceDN w:val="0"/>
        <w:snapToGrid w:val="0"/>
        <w:spacing w:line="620" w:lineRule="exact"/>
        <w:rPr>
          <w:rFonts w:ascii="??_GB2312" w:hAnsi="??_GB2312"/>
          <w:sz w:val="10"/>
          <w:szCs w:val="10"/>
        </w:rPr>
      </w:pPr>
    </w:p>
    <w:p>
      <w:pPr>
        <w:pStyle w:val="15"/>
        <w:keepNext w:val="0"/>
        <w:keepLines w:val="0"/>
        <w:pageBreakBefore w:val="0"/>
        <w:widowControl/>
        <w:kinsoku/>
        <w:wordWrap/>
        <w:overflowPunct/>
        <w:topLinePunct w:val="0"/>
        <w:autoSpaceDE/>
        <w:autoSpaceDN w:val="0"/>
        <w:bidi w:val="0"/>
        <w:adjustRightInd/>
        <w:snapToGrid w:val="0"/>
        <w:spacing w:line="800" w:lineRule="exact"/>
        <w:textAlignment w:val="auto"/>
        <w:rPr>
          <w:rFonts w:ascii="??_GB2312" w:hAnsi="??_GB2312"/>
          <w:sz w:val="10"/>
          <w:szCs w:val="10"/>
        </w:rPr>
      </w:pPr>
    </w:p>
    <w:p>
      <w:pPr>
        <w:pStyle w:val="15"/>
        <w:keepNext w:val="0"/>
        <w:keepLines w:val="0"/>
        <w:pageBreakBefore w:val="0"/>
        <w:widowControl/>
        <w:kinsoku/>
        <w:wordWrap/>
        <w:overflowPunct/>
        <w:topLinePunct w:val="0"/>
        <w:autoSpaceDE/>
        <w:autoSpaceDN w:val="0"/>
        <w:bidi w:val="0"/>
        <w:adjustRightInd/>
        <w:snapToGrid w:val="0"/>
        <w:spacing w:line="700" w:lineRule="exact"/>
        <w:textAlignment w:val="auto"/>
        <w:rPr>
          <w:rFonts w:ascii="??_GB2312" w:hAnsi="??_GB2312"/>
          <w:sz w:val="10"/>
          <w:szCs w:val="10"/>
        </w:rPr>
      </w:pPr>
    </w:p>
    <w:p>
      <w:pPr>
        <w:pStyle w:val="15"/>
        <w:keepNext w:val="0"/>
        <w:keepLines w:val="0"/>
        <w:pageBreakBefore w:val="0"/>
        <w:widowControl/>
        <w:kinsoku/>
        <w:wordWrap/>
        <w:overflowPunct/>
        <w:topLinePunct w:val="0"/>
        <w:autoSpaceDE/>
        <w:autoSpaceDN w:val="0"/>
        <w:bidi w:val="0"/>
        <w:adjustRightInd/>
        <w:snapToGrid w:val="0"/>
        <w:spacing w:line="500" w:lineRule="exact"/>
        <w:textAlignment w:val="auto"/>
        <w:rPr>
          <w:rFonts w:ascii="??_GB2312" w:hAnsi="??_GB2312"/>
          <w:sz w:val="10"/>
          <w:szCs w:val="10"/>
        </w:rPr>
      </w:pPr>
    </w:p>
    <w:p>
      <w:pPr>
        <w:autoSpaceDE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长上应急</w:t>
      </w:r>
      <w:r>
        <w:rPr>
          <w:rFonts w:hint="eastAsia" w:ascii="仿宋_GB2312" w:hAnsi="仿宋_GB2312" w:eastAsia="仿宋_GB2312" w:cs="仿宋_GB2312"/>
          <w:sz w:val="32"/>
          <w:szCs w:val="32"/>
          <w:lang w:val="en-US" w:eastAsia="zh-CN"/>
        </w:rPr>
        <w:t>字</w:t>
      </w:r>
      <w:r>
        <w:rPr>
          <w:rFonts w:hint="eastAsia" w:ascii="仿宋_GB2312" w:hAnsi="仿宋_GB2312" w:eastAsia="仿宋_GB2312" w:cs="仿宋_GB2312"/>
          <w:sz w:val="32"/>
          <w:szCs w:val="32"/>
        </w:rPr>
        <w:t>〔2023〕</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号</w:t>
      </w:r>
    </w:p>
    <w:p>
      <w:pPr>
        <w:spacing w:line="580" w:lineRule="exact"/>
        <w:ind w:firstLine="640" w:firstLineChars="200"/>
        <w:rPr>
          <w:rFonts w:hint="eastAsia" w:ascii="仿宋_GB2312" w:hAnsi="仿宋_GB2312" w:eastAsia="仿宋_GB2312" w:cs="仿宋_GB2312"/>
          <w:sz w:val="32"/>
          <w:szCs w:val="32"/>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长治市上党区应急管理局</w:t>
      </w:r>
    </w:p>
    <w:p>
      <w:pPr>
        <w:spacing w:line="660" w:lineRule="exact"/>
        <w:jc w:val="center"/>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全区洗（选）煤厂及配煤型煤加工企业</w:t>
      </w:r>
    </w:p>
    <w:p>
      <w:pPr>
        <w:spacing w:line="6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安全生产标准化工作开展情况</w:t>
      </w:r>
      <w:r>
        <w:rPr>
          <w:rFonts w:hint="eastAsia" w:ascii="方正小标宋简体" w:hAnsi="方正小标宋简体" w:eastAsia="方正小标宋简体" w:cs="方正小标宋简体"/>
          <w:sz w:val="44"/>
          <w:szCs w:val="44"/>
        </w:rPr>
        <w:t>的通</w:t>
      </w:r>
      <w:r>
        <w:rPr>
          <w:rFonts w:hint="eastAsia" w:ascii="方正小标宋简体" w:hAnsi="方正小标宋简体" w:eastAsia="方正小标宋简体" w:cs="方正小标宋简体"/>
          <w:sz w:val="44"/>
          <w:szCs w:val="44"/>
          <w:lang w:eastAsia="zh-CN"/>
        </w:rPr>
        <w:t>报</w:t>
      </w:r>
      <w:bookmarkEnd w:id="0"/>
    </w:p>
    <w:p>
      <w:pPr>
        <w:pStyle w:val="4"/>
        <w:rPr>
          <w:rFonts w:hint="eastAsia"/>
          <w:lang w:eastAsia="zh-CN"/>
        </w:rPr>
      </w:pPr>
    </w:p>
    <w:p>
      <w:pPr>
        <w:keepNext w:val="0"/>
        <w:keepLines w:val="0"/>
        <w:pageBreakBefore w:val="0"/>
        <w:widowControl/>
        <w:wordWrap/>
        <w:overflowPunct/>
        <w:topLinePunct w:val="0"/>
        <w:bidi w:val="0"/>
        <w:adjustRightInd/>
        <w:snapToGrid/>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各洗（选）煤厂及配煤型煤加工企业</w:t>
      </w:r>
      <w:r>
        <w:rPr>
          <w:rFonts w:hint="eastAsia" w:ascii="仿宋_GB2312" w:hAnsi="仿宋_GB2312" w:eastAsia="仿宋_GB2312" w:cs="仿宋_GB2312"/>
          <w:sz w:val="32"/>
          <w:szCs w:val="32"/>
        </w:rPr>
        <w:t>：</w:t>
      </w:r>
    </w:p>
    <w:p>
      <w:pPr>
        <w:keepNext w:val="0"/>
        <w:keepLines w:val="0"/>
        <w:pageBreakBefore w:val="0"/>
        <w:widowControl/>
        <w:wordWrap/>
        <w:overflowPunct/>
        <w:topLinePunct w:val="0"/>
        <w:bidi w:val="0"/>
        <w:adjustRightInd/>
        <w:snapToGrid/>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为认真贯彻落实</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lang w:val="en-US" w:eastAsia="zh-CN"/>
        </w:rPr>
        <w:t>市应急管理部门洗选煤加工企业安全生产标准化体系创建推进工作</w:t>
      </w:r>
      <w:r>
        <w:rPr>
          <w:rFonts w:hint="eastAsia" w:ascii="仿宋_GB2312" w:hAnsi="仿宋_GB2312" w:eastAsia="仿宋_GB2312" w:cs="仿宋_GB2312"/>
          <w:sz w:val="32"/>
          <w:szCs w:val="32"/>
          <w:lang w:eastAsia="zh-CN"/>
        </w:rPr>
        <w:t>，市应急局、区应急局及省厅标准化验收专家组于</w:t>
      </w:r>
      <w:r>
        <w:rPr>
          <w:rFonts w:hint="eastAsia" w:ascii="仿宋_GB2312" w:hAnsi="仿宋_GB2312" w:eastAsia="仿宋_GB2312" w:cs="仿宋_GB2312"/>
          <w:sz w:val="32"/>
          <w:szCs w:val="32"/>
          <w:lang w:val="en-US" w:eastAsia="zh-CN"/>
        </w:rPr>
        <w:t>2023年6月17日、18日两天时间对我区申报二级标准化的长治县金牛洗煤有限责任公司、长治县金益恒工贸有限公司、长治县锦峰煤炭经销有限公司等10家</w:t>
      </w:r>
      <w:r>
        <w:rPr>
          <w:rFonts w:hint="eastAsia" w:ascii="仿宋_GB2312" w:hAnsi="仿宋_GB2312" w:eastAsia="仿宋_GB2312" w:cs="仿宋_GB2312"/>
          <w:sz w:val="32"/>
          <w:szCs w:val="32"/>
          <w:lang w:eastAsia="zh-CN"/>
        </w:rPr>
        <w:t>洗（选）煤</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lang w:eastAsia="zh-CN"/>
        </w:rPr>
        <w:t>和申报三级标准化的</w:t>
      </w:r>
      <w:r>
        <w:rPr>
          <w:rFonts w:hint="eastAsia" w:ascii="仿宋_GB2312" w:hAnsi="仿宋_GB2312" w:eastAsia="仿宋_GB2312" w:cs="仿宋_GB2312"/>
          <w:sz w:val="32"/>
          <w:szCs w:val="32"/>
          <w:lang w:val="en-US" w:eastAsia="zh-CN"/>
        </w:rPr>
        <w:t>长治县增鑫洗煤有限责任公司进行了现场验收，</w:t>
      </w:r>
      <w:r>
        <w:rPr>
          <w:rFonts w:hint="eastAsia" w:ascii="仿宋_GB2312" w:hAnsi="仿宋_GB2312" w:eastAsia="仿宋_GB2312" w:cs="仿宋_GB2312"/>
          <w:sz w:val="32"/>
          <w:szCs w:val="32"/>
          <w:lang w:eastAsia="zh-CN"/>
        </w:rPr>
        <w:t>现将</w:t>
      </w:r>
      <w:r>
        <w:rPr>
          <w:rFonts w:hint="eastAsia" w:ascii="仿宋_GB2312" w:hAnsi="仿宋_GB2312" w:eastAsia="仿宋_GB2312" w:cs="仿宋_GB2312"/>
          <w:sz w:val="32"/>
          <w:szCs w:val="32"/>
          <w:lang w:val="en-US" w:eastAsia="zh-CN"/>
        </w:rPr>
        <w:t>安全生产标准化验收评分情况通报如下</w:t>
      </w:r>
      <w:r>
        <w:rPr>
          <w:rFonts w:hint="eastAsia" w:ascii="仿宋_GB2312" w:hAnsi="仿宋_GB2312" w:eastAsia="仿宋_GB2312" w:cs="仿宋_GB2312"/>
          <w:sz w:val="32"/>
          <w:szCs w:val="32"/>
          <w:lang w:eastAsia="zh-CN"/>
        </w:rPr>
        <w:t>：</w:t>
      </w:r>
    </w:p>
    <w:p>
      <w:pPr>
        <w:keepNext w:val="0"/>
        <w:keepLines w:val="0"/>
        <w:pageBreakBefore w:val="0"/>
        <w:widowControl/>
        <w:wordWrap/>
        <w:overflowPunct/>
        <w:topLinePunct w:val="0"/>
        <w:bidi w:val="0"/>
        <w:adjustRightInd/>
        <w:snapToGrid/>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一、验收达标</w:t>
      </w:r>
      <w:r>
        <w:rPr>
          <w:rFonts w:hint="eastAsia" w:ascii="黑体" w:hAnsi="黑体" w:eastAsia="黑体" w:cs="黑体"/>
          <w:sz w:val="32"/>
          <w:szCs w:val="32"/>
          <w:lang w:eastAsia="zh-CN"/>
        </w:rPr>
        <w:t>情况</w:t>
      </w:r>
    </w:p>
    <w:p>
      <w:pPr>
        <w:keepNext w:val="0"/>
        <w:keepLines w:val="0"/>
        <w:pageBreakBefore w:val="0"/>
        <w:widowControl/>
        <w:wordWrap/>
        <w:overflowPunct/>
        <w:topLinePunct w:val="0"/>
        <w:bidi w:val="0"/>
        <w:adjustRightInd/>
        <w:snapToGrid/>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全区洗（选）煤厂及配煤型煤加工企业共</w:t>
      </w:r>
      <w:r>
        <w:rPr>
          <w:rFonts w:hint="eastAsia" w:ascii="仿宋_GB2312" w:hAnsi="仿宋_GB2312" w:eastAsia="仿宋_GB2312" w:cs="仿宋_GB2312"/>
          <w:sz w:val="32"/>
          <w:szCs w:val="32"/>
          <w:lang w:val="en-US" w:eastAsia="zh-CN"/>
        </w:rPr>
        <w:t>35家，此次申报</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lang w:val="en-US" w:eastAsia="zh-CN"/>
        </w:rPr>
        <w:sectPr>
          <w:headerReference r:id="rId3" w:type="default"/>
          <w:footerReference r:id="rId4" w:type="default"/>
          <w:pgSz w:w="11907" w:h="16839"/>
          <w:pgMar w:top="1701" w:right="1531" w:bottom="1531" w:left="1531" w:header="0" w:footer="0" w:gutter="0"/>
          <w:pgNumType w:fmt="decimal"/>
          <w:cols w:space="720" w:num="1"/>
          <w:docGrid w:linePitch="286" w:charSpace="0"/>
        </w:sectPr>
      </w:pP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级安全生产标准化10家，三级安全生产标准化1家，11家企业安全生产标准化均达标准。企业安全评分分别为：长治县金牛洗煤有限责任公司标准化评分：82.37；长治县昌顺洗煤有限公司标准化评分：81.06；长治县宏申洗煤有限责任公司标准化评分：81.03；长治县隆泰洗煤有限责任公司标准化评分：80.76；长治县聚兴洗煤有限公司标准化评分：80.71；长治县金龙洗煤有限公司标准化评分：80.66；长治县锦峰煤炭经销有限公司标准化评分：80.6；长治县森鼎煤业有限公司标准化评分：80.41；长治县森泰煤业有限公司标准化评分：80.33；长治县金益恒工贸有限公司标准化评分：80.2；长治县增鑫洗煤有限责任公司标准化评分：70.29。</w:t>
      </w:r>
    </w:p>
    <w:p>
      <w:pPr>
        <w:pStyle w:val="2"/>
        <w:keepNext w:val="0"/>
        <w:keepLines w:val="0"/>
        <w:pageBreakBefore w:val="0"/>
        <w:widowControl/>
        <w:numPr>
          <w:ilvl w:val="0"/>
          <w:numId w:val="0"/>
        </w:numPr>
        <w:wordWrap/>
        <w:overflowPunct/>
        <w:topLinePunct w:val="0"/>
        <w:bidi w:val="0"/>
        <w:adjustRightInd w:val="0"/>
        <w:snapToGrid w:val="0"/>
        <w:spacing w:line="560" w:lineRule="exact"/>
        <w:ind w:firstLine="640" w:firstLineChars="200"/>
        <w:rPr>
          <w:rFonts w:hint="eastAsia" w:ascii="黑体" w:hAnsi="黑体" w:eastAsia="黑体" w:cs="黑体"/>
          <w:lang w:val="en-US" w:eastAsia="zh-CN"/>
        </w:rPr>
      </w:pPr>
      <w:r>
        <w:rPr>
          <w:rFonts w:hint="eastAsia" w:ascii="黑体" w:hAnsi="黑体" w:eastAsia="黑体" w:cs="黑体"/>
          <w:lang w:val="en-US" w:eastAsia="zh-CN"/>
        </w:rPr>
        <w:t>二、存在的问题</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全区洗（选）煤加工企业安全生产标准化工作存在几个方面的问题：一是大多数企业存在观望心态。标准化试行以来，申报标准化等级的洗（选）煤厂共</w:t>
      </w:r>
      <w:r>
        <w:rPr>
          <w:rFonts w:hint="eastAsia" w:ascii="仿宋_GB2312" w:hAnsi="仿宋_GB2312" w:eastAsia="仿宋_GB2312" w:cs="仿宋_GB2312"/>
          <w:sz w:val="32"/>
          <w:szCs w:val="32"/>
          <w:lang w:val="en-US" w:eastAsia="zh-CN"/>
        </w:rPr>
        <w:t>11家，只占全区现有在册洗（选）煤加工企业的31%。二是社会独立洗（选）煤企业对安全生产工作不重视。三是社会独立洗（选）煤企业历史遗留问题较多，普遍存在安全生产条件差、管理水平低、人员素质不高等问题。</w:t>
      </w:r>
    </w:p>
    <w:p>
      <w:pPr>
        <w:keepNext w:val="0"/>
        <w:keepLines w:val="0"/>
        <w:pageBreakBefore w:val="0"/>
        <w:widowControl/>
        <w:kinsoku/>
        <w:wordWrap/>
        <w:overflowPunct/>
        <w:topLinePunct w:val="0"/>
        <w:autoSpaceDE/>
        <w:autoSpaceDN/>
        <w:bidi w:val="0"/>
        <w:adjustRightInd w:val="0"/>
        <w:snapToGrid w:val="0"/>
        <w:spacing w:line="560" w:lineRule="exact"/>
        <w:ind w:firstLine="66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下面就省专家组在验收过程中发现各企业存在的问题进行</w:t>
      </w:r>
      <w:r>
        <w:rPr>
          <w:rFonts w:hint="eastAsia" w:ascii="仿宋_GB2312" w:hAnsi="仿宋_GB2312" w:eastAsia="仿宋_GB2312" w:cs="仿宋_GB2312"/>
          <w:sz w:val="32"/>
          <w:szCs w:val="32"/>
          <w:lang w:eastAsia="zh-CN"/>
        </w:rPr>
        <w:t>情况说明。</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存在的共性问题有：</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1.生产组织机构职责不完善，生产责任制不全；</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2.厂内多处设施设备皮带机头滚筒防护不到位；</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3.应急物资库内物资未按应急物资表进行储备，未定期进行维护、保养、更新记录；</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4.部分设施设备缺操作规程、相关岗位责任制缺失、部分制度内容无可操作性、现场备品备件材料管理无管理责任牌；</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5.吊装作业、动火作业、有限空间作业等高位作业审批无安全技术部门审批签字；</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6.主洗车间多处位置照明不足；</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7.部分设备周边孔洞过大，维检修平台防护栏杆高度不足、间隔过大等问题；</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8.应急演练资料中缺相关保障方案；</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9.风险管控教育培训不到位，安全管理人员不了解风险评价制度内容；</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10.厂区安全风险四色分布图与现场悬挂不符，较大风险区域未设置风险告知牌，部分岗位未设置安全风险告知卡；</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11.隐患排查工作开展不到位，隐患排查台账无专项检查台账，台账记录与制度规定不符；</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12.企业安全培训经费提取不足，经费提取后应有提取记录台账；</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3.培训计划制定不够详细，未按三级培训计划编制；</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napToGrid w:val="0"/>
          <w:color w:val="000000"/>
          <w:sz w:val="32"/>
          <w:szCs w:val="32"/>
          <w:lang w:val="en-US" w:eastAsia="zh-CN" w:bidi="ar-SA"/>
        </w:rPr>
        <w:t>1</w:t>
      </w:r>
      <w:r>
        <w:rPr>
          <w:rFonts w:hint="eastAsia" w:ascii="仿宋_GB2312" w:hAnsi="仿宋_GB2312" w:eastAsia="仿宋_GB2312" w:cs="仿宋_GB2312"/>
          <w:snapToGrid w:val="0"/>
          <w:color w:val="000000"/>
          <w:sz w:val="32"/>
          <w:szCs w:val="32"/>
          <w:lang w:val="en-US" w:eastAsia="zh-CN" w:bidi="ar-SA"/>
        </w:rPr>
        <w:t>4.</w:t>
      </w:r>
      <w:r>
        <w:rPr>
          <w:rFonts w:hint="eastAsia" w:ascii="仿宋_GB2312" w:hAnsi="仿宋_GB2312" w:eastAsia="仿宋_GB2312" w:cs="仿宋_GB2312"/>
          <w:sz w:val="32"/>
          <w:szCs w:val="32"/>
          <w:lang w:val="en-US" w:eastAsia="zh-CN"/>
        </w:rPr>
        <w:t>培训档案较为混乱，部分试卷阅卷不规范，培训内容缺失隐患辨识、应急处置等；</w:t>
      </w:r>
    </w:p>
    <w:p>
      <w:pPr>
        <w:pStyle w:val="2"/>
        <w:keepNext w:val="0"/>
        <w:keepLines w:val="0"/>
        <w:pageBreakBefore w:val="0"/>
        <w:widowControl/>
        <w:numPr>
          <w:ilvl w:val="0"/>
          <w:numId w:val="0"/>
        </w:numPr>
        <w:wordWrap/>
        <w:overflowPunct/>
        <w:topLinePunct w:val="0"/>
        <w:bidi w:val="0"/>
        <w:adjustRightInd w:val="0"/>
        <w:snapToGrid w:val="0"/>
        <w:spacing w:line="560" w:lineRule="exact"/>
        <w:ind w:left="0" w:leftChars="0" w:firstLine="640" w:firstLineChars="200"/>
        <w:rPr>
          <w:rFonts w:hint="default"/>
          <w:lang w:val="en-US" w:eastAsia="zh-CN"/>
        </w:rPr>
      </w:pPr>
      <w:r>
        <w:rPr>
          <w:rFonts w:hint="default" w:ascii="仿宋_GB2312" w:hAnsi="仿宋_GB2312" w:eastAsia="仿宋_GB2312" w:cs="仿宋_GB2312"/>
          <w:snapToGrid w:val="0"/>
          <w:color w:val="000000"/>
          <w:sz w:val="32"/>
          <w:szCs w:val="32"/>
          <w:lang w:val="en-US" w:eastAsia="zh-CN" w:bidi="ar-SA"/>
        </w:rPr>
        <w:t>1</w:t>
      </w:r>
      <w:r>
        <w:rPr>
          <w:rFonts w:hint="eastAsia" w:ascii="仿宋_GB2312" w:hAnsi="仿宋_GB2312" w:cs="仿宋_GB2312"/>
          <w:snapToGrid w:val="0"/>
          <w:color w:val="000000"/>
          <w:sz w:val="32"/>
          <w:szCs w:val="32"/>
          <w:lang w:val="en-US" w:eastAsia="zh-CN" w:bidi="ar-SA"/>
        </w:rPr>
        <w:t>5.</w:t>
      </w:r>
      <w:r>
        <w:rPr>
          <w:rFonts w:hint="eastAsia"/>
          <w:lang w:val="en-US" w:eastAsia="zh-CN"/>
        </w:rPr>
        <w:t>部分设备</w:t>
      </w:r>
      <w:r>
        <w:rPr>
          <w:rFonts w:hint="default"/>
          <w:lang w:val="en-US" w:eastAsia="zh-CN"/>
        </w:rPr>
        <w:t>电机外壳接地线没有接到接地网上</w:t>
      </w:r>
      <w:r>
        <w:rPr>
          <w:rFonts w:hint="eastAsia"/>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napToGrid w:val="0"/>
          <w:color w:val="000000"/>
          <w:sz w:val="32"/>
          <w:szCs w:val="32"/>
          <w:lang w:val="en-US" w:eastAsia="zh-CN" w:bidi="ar-SA"/>
        </w:rPr>
        <w:t>1</w:t>
      </w:r>
      <w:r>
        <w:rPr>
          <w:rFonts w:hint="eastAsia" w:ascii="仿宋_GB2312" w:hAnsi="仿宋_GB2312" w:eastAsia="仿宋_GB2312" w:cs="仿宋_GB2312"/>
          <w:snapToGrid w:val="0"/>
          <w:color w:val="000000"/>
          <w:sz w:val="32"/>
          <w:szCs w:val="32"/>
          <w:lang w:val="en-US" w:eastAsia="zh-CN" w:bidi="ar-SA"/>
        </w:rPr>
        <w:t>6.</w:t>
      </w:r>
      <w:r>
        <w:rPr>
          <w:rFonts w:hint="eastAsia" w:ascii="仿宋_GB2312" w:hAnsi="仿宋_GB2312" w:eastAsia="仿宋_GB2312" w:cs="仿宋_GB2312"/>
          <w:sz w:val="32"/>
          <w:szCs w:val="32"/>
          <w:lang w:val="en-US" w:eastAsia="zh-CN"/>
        </w:rPr>
        <w:t>特种设备无日常维护、保养记录及检验报告等；</w:t>
      </w:r>
    </w:p>
    <w:p>
      <w:pPr>
        <w:pStyle w:val="2"/>
        <w:keepNext w:val="0"/>
        <w:keepLines w:val="0"/>
        <w:pageBreakBefore w:val="0"/>
        <w:widowControl/>
        <w:numPr>
          <w:ilvl w:val="0"/>
          <w:numId w:val="0"/>
        </w:numPr>
        <w:wordWrap/>
        <w:overflowPunct/>
        <w:topLinePunct w:val="0"/>
        <w:bidi w:val="0"/>
        <w:adjustRightInd w:val="0"/>
        <w:snapToGrid w:val="0"/>
        <w:spacing w:line="560" w:lineRule="exact"/>
        <w:ind w:left="0" w:leftChars="0" w:firstLine="640" w:firstLineChars="200"/>
        <w:rPr>
          <w:rFonts w:hint="default"/>
          <w:lang w:val="en-US" w:eastAsia="zh-CN"/>
        </w:rPr>
      </w:pPr>
      <w:r>
        <w:rPr>
          <w:rFonts w:hint="default" w:ascii="仿宋_GB2312" w:hAnsi="仿宋_GB2312" w:eastAsia="仿宋_GB2312" w:cs="仿宋_GB2312"/>
          <w:snapToGrid w:val="0"/>
          <w:color w:val="000000"/>
          <w:sz w:val="32"/>
          <w:szCs w:val="32"/>
          <w:lang w:val="en-US" w:eastAsia="zh-CN" w:bidi="ar-SA"/>
        </w:rPr>
        <w:t>1</w:t>
      </w:r>
      <w:r>
        <w:rPr>
          <w:rFonts w:hint="eastAsia" w:ascii="仿宋_GB2312" w:hAnsi="仿宋_GB2312" w:cs="仿宋_GB2312"/>
          <w:snapToGrid w:val="0"/>
          <w:color w:val="000000"/>
          <w:sz w:val="32"/>
          <w:szCs w:val="32"/>
          <w:lang w:val="en-US" w:eastAsia="zh-CN" w:bidi="ar-SA"/>
        </w:rPr>
        <w:t>7.</w:t>
      </w:r>
      <w:r>
        <w:rPr>
          <w:rFonts w:hint="default"/>
          <w:lang w:val="en-US" w:eastAsia="zh-CN"/>
        </w:rPr>
        <w:t>配电室供电系统图无明确供电设备回路，无审核日期，部分配电柜门无上锁</w:t>
      </w:r>
      <w:r>
        <w:rPr>
          <w:rFonts w:hint="eastAsia"/>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napToGrid w:val="0"/>
          <w:color w:val="000000"/>
          <w:sz w:val="32"/>
          <w:szCs w:val="32"/>
          <w:lang w:val="en-US" w:eastAsia="zh-CN" w:bidi="ar-SA"/>
        </w:rPr>
        <w:t>1</w:t>
      </w:r>
      <w:r>
        <w:rPr>
          <w:rFonts w:hint="eastAsia" w:ascii="仿宋_GB2312" w:hAnsi="仿宋_GB2312" w:eastAsia="仿宋_GB2312" w:cs="仿宋_GB2312"/>
          <w:snapToGrid w:val="0"/>
          <w:color w:val="000000"/>
          <w:sz w:val="32"/>
          <w:szCs w:val="32"/>
          <w:lang w:val="en-US" w:eastAsia="zh-CN" w:bidi="ar-SA"/>
        </w:rPr>
        <w:t>8.</w:t>
      </w:r>
      <w:r>
        <w:rPr>
          <w:rFonts w:hint="eastAsia" w:ascii="仿宋_GB2312" w:hAnsi="仿宋_GB2312" w:eastAsia="仿宋_GB2312" w:cs="仿宋_GB2312"/>
          <w:sz w:val="32"/>
          <w:szCs w:val="32"/>
          <w:lang w:val="en-US" w:eastAsia="zh-CN"/>
        </w:rPr>
        <w:t>现场设备包机牌不规范；</w:t>
      </w:r>
    </w:p>
    <w:p>
      <w:pPr>
        <w:pStyle w:val="2"/>
        <w:keepNext w:val="0"/>
        <w:keepLines w:val="0"/>
        <w:pageBreakBefore w:val="0"/>
        <w:widowControl/>
        <w:numPr>
          <w:ilvl w:val="0"/>
          <w:numId w:val="0"/>
        </w:numPr>
        <w:wordWrap/>
        <w:overflowPunct/>
        <w:topLinePunct w:val="0"/>
        <w:bidi w:val="0"/>
        <w:adjustRightInd w:val="0"/>
        <w:snapToGrid w:val="0"/>
        <w:spacing w:line="560" w:lineRule="exact"/>
        <w:ind w:left="0" w:leftChars="0" w:firstLine="640" w:firstLineChars="200"/>
        <w:rPr>
          <w:rFonts w:hint="default"/>
          <w:lang w:val="en-US" w:eastAsia="zh-CN"/>
        </w:rPr>
      </w:pPr>
      <w:r>
        <w:rPr>
          <w:rFonts w:hint="default" w:ascii="仿宋_GB2312" w:hAnsi="仿宋_GB2312" w:eastAsia="仿宋_GB2312" w:cs="仿宋_GB2312"/>
          <w:snapToGrid w:val="0"/>
          <w:color w:val="000000"/>
          <w:sz w:val="32"/>
          <w:szCs w:val="32"/>
          <w:lang w:val="en-US" w:eastAsia="zh-CN" w:bidi="ar-SA"/>
        </w:rPr>
        <w:t>1</w:t>
      </w:r>
      <w:r>
        <w:rPr>
          <w:rFonts w:hint="eastAsia" w:ascii="仿宋_GB2312" w:hAnsi="仿宋_GB2312" w:cs="仿宋_GB2312"/>
          <w:snapToGrid w:val="0"/>
          <w:color w:val="000000"/>
          <w:sz w:val="32"/>
          <w:szCs w:val="32"/>
          <w:lang w:val="en-US" w:eastAsia="zh-CN" w:bidi="ar-SA"/>
        </w:rPr>
        <w:t>9.</w:t>
      </w:r>
      <w:r>
        <w:rPr>
          <w:rFonts w:hint="default"/>
          <w:lang w:val="en-US" w:eastAsia="zh-CN"/>
        </w:rPr>
        <w:t>化验室</w:t>
      </w:r>
      <w:r>
        <w:rPr>
          <w:rFonts w:hint="eastAsia"/>
          <w:lang w:val="en-US" w:eastAsia="zh-CN"/>
        </w:rPr>
        <w:t>检验员劳保用品不规范，设备未接地；</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20.现场电缆悬挂乱，有“鸡爪子、羊尾巴”等现象存在；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21.甲烷传感器未强制性检验；</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22.瓦斯探头监测报故障，检查记录不规范等；</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23.部分楼梯口及应急通道无应急照明及指示牌；</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lang w:val="en-US" w:eastAsia="zh-CN"/>
        </w:rPr>
      </w:pPr>
      <w:r>
        <w:rPr>
          <w:rFonts w:hint="eastAsia" w:ascii="仿宋_GB2312" w:hAnsi="仿宋_GB2312" w:eastAsia="仿宋_GB2312" w:cs="仿宋_GB2312"/>
          <w:sz w:val="32"/>
          <w:szCs w:val="32"/>
          <w:lang w:val="en-US" w:eastAsia="zh-CN"/>
        </w:rPr>
        <w:t>24.未对建筑消防设施、器材年度检测记录；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25.多处消防设施及器材配置不全或与配置图不符；</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26.危化品安全管理制度执行不到位，危险化学品管理检查记录不合格；</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27.无氯化锌、药剂库专用库房；</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28.未配备职业危害防治专职管理人员及第一责任人；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29.振动筛、破碎机等现场无职业危害检测标识；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30.厂区道路转弯、交叉标识不齐全；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31.装载机无灭火器，存在有信号灯灯罩破损等问题；</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32.无装载机检查检修维护记录。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存在的个性问题：</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1.长治县金牛洗煤有限责任公司存在三级培训无法区分主次之间的关系；部分试卷阅卷不规范，现场抽考3位主要负责人，口试不合格等问题。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napToGrid w:val="0"/>
          <w:color w:val="000000"/>
          <w:sz w:val="32"/>
          <w:szCs w:val="32"/>
          <w:lang w:val="en-US" w:eastAsia="zh-CN" w:bidi="ar-SA"/>
        </w:rPr>
        <w:t>2</w:t>
      </w:r>
      <w:r>
        <w:rPr>
          <w:rFonts w:hint="eastAsia" w:ascii="仿宋_GB2312" w:hAnsi="仿宋_GB2312" w:eastAsia="仿宋_GB2312" w:cs="仿宋_GB2312"/>
          <w:snapToGrid w:val="0"/>
          <w:color w:val="000000"/>
          <w:sz w:val="32"/>
          <w:szCs w:val="32"/>
          <w:lang w:val="en-US" w:eastAsia="zh-CN" w:bidi="ar-SA"/>
        </w:rPr>
        <w:t>.</w:t>
      </w:r>
      <w:r>
        <w:rPr>
          <w:rFonts w:hint="eastAsia" w:ascii="仿宋_GB2312" w:hAnsi="仿宋_GB2312" w:eastAsia="仿宋_GB2312" w:cs="仿宋_GB2312"/>
          <w:sz w:val="32"/>
          <w:szCs w:val="32"/>
          <w:lang w:val="en-US" w:eastAsia="zh-CN"/>
        </w:rPr>
        <w:t>长治县金益恒工贸有限公司存在主厂房西侧墙体、柱体破损露出钢筋；无固定应急救援指挥场所；现场抽问职工不清</w:t>
      </w:r>
    </w:p>
    <w:p>
      <w:pPr>
        <w:pStyle w:val="2"/>
        <w:ind w:left="0" w:leftChars="0" w:firstLine="0" w:firstLine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楚风险评价方案等问题。</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000000"/>
          <w:sz w:val="32"/>
          <w:szCs w:val="32"/>
          <w:lang w:val="en-US" w:eastAsia="zh-CN" w:bidi="ar-SA"/>
        </w:rPr>
        <w:t>3.</w:t>
      </w:r>
      <w:r>
        <w:rPr>
          <w:rFonts w:hint="eastAsia" w:ascii="仿宋_GB2312" w:hAnsi="仿宋_GB2312" w:eastAsia="仿宋_GB2312" w:cs="仿宋_GB2312"/>
          <w:sz w:val="32"/>
          <w:szCs w:val="32"/>
          <w:lang w:val="en-US" w:eastAsia="zh-CN"/>
        </w:rPr>
        <w:t xml:space="preserve">长治县森泰煤业有限公司存在特种设备储气罐没有定期检验报告，应急预案未审核；未记录重大风险控制措施等问题。  </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4.长治县森鼎煤业有限公司存在应急物资配备不齐、部分药品过期、台账与实际不符；配电室无安全警示标识、配电柜无编号、绝缘用具配备不齐、无标志牌、供电系统图无审核等问题。</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5.长治县增鑫洗煤有限责任公司存在配电室绝缘工具没有定期检验；特种设备台账不符合要求，应急预案不适应现场实际等问题。</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三、下一步工作要求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安全标准化是规范企业安全生产行为，有效防控风险、治理隐患，从根本上解决企业基础薄弱、工艺落后、违章频发、管理混乱等问题</w:t>
      </w:r>
      <w:r>
        <w:rPr>
          <w:rFonts w:hint="eastAsia" w:ascii="仿宋_GB2312" w:hAnsi="仿宋_GB2312" w:eastAsia="仿宋_GB2312" w:cs="仿宋_GB2312"/>
          <w:sz w:val="32"/>
          <w:szCs w:val="32"/>
          <w:lang w:eastAsia="zh-CN"/>
        </w:rPr>
        <w:t>的有效办法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标准化达标是企业安全生产的前</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提。各企业要充分认识开展安全标准化工作的必要性，进一步推进安全生产标准化建设工作，</w:t>
      </w:r>
      <w:r>
        <w:rPr>
          <w:rFonts w:hint="eastAsia" w:ascii="仿宋_GB2312" w:hAnsi="仿宋_GB2312" w:eastAsia="仿宋_GB2312" w:cs="仿宋_GB2312"/>
          <w:sz w:val="32"/>
          <w:szCs w:val="32"/>
        </w:rPr>
        <w:t>不断改进安全生产状况</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下一步，我局将</w:t>
      </w:r>
      <w:r>
        <w:rPr>
          <w:rFonts w:hint="eastAsia" w:ascii="仿宋_GB2312" w:hAnsi="仿宋_GB2312" w:eastAsia="仿宋_GB2312" w:cs="仿宋_GB2312"/>
          <w:sz w:val="32"/>
          <w:szCs w:val="32"/>
          <w:lang w:eastAsia="zh-CN"/>
        </w:rPr>
        <w:t>依法</w:t>
      </w:r>
      <w:r>
        <w:rPr>
          <w:rFonts w:hint="eastAsia" w:ascii="仿宋_GB2312" w:hAnsi="仿宋_GB2312" w:eastAsia="仿宋_GB2312" w:cs="仿宋_GB2312"/>
          <w:sz w:val="32"/>
          <w:szCs w:val="32"/>
        </w:rPr>
        <w:t>加强安全监督管理，督促企业全面落实安全生产主体责任，</w:t>
      </w:r>
      <w:r>
        <w:rPr>
          <w:rFonts w:hint="eastAsia" w:ascii="仿宋_GB2312" w:hAnsi="仿宋_GB2312" w:eastAsia="仿宋_GB2312" w:cs="仿宋_GB2312"/>
          <w:sz w:val="32"/>
          <w:szCs w:val="32"/>
          <w:lang w:eastAsia="zh-CN"/>
        </w:rPr>
        <w:t>对照隐患内容进行自查自纠，制定安全隐患整改措施，及时消除安全隐患，监督企业按照要求全面开展安全生产标准化建设工作，</w:t>
      </w:r>
      <w:r>
        <w:rPr>
          <w:rFonts w:hint="eastAsia" w:ascii="仿宋_GB2312" w:hAnsi="仿宋_GB2312" w:eastAsia="仿宋_GB2312" w:cs="仿宋_GB2312"/>
          <w:sz w:val="32"/>
          <w:szCs w:val="32"/>
        </w:rPr>
        <w:t>确保安全生产。</w:t>
      </w:r>
    </w:p>
    <w:p>
      <w:pPr>
        <w:keepNext w:val="0"/>
        <w:keepLines w:val="0"/>
        <w:pageBreakBefore w:val="0"/>
        <w:widowControl/>
        <w:kinsoku/>
        <w:wordWrap/>
        <w:overflowPunct/>
        <w:topLinePunct w:val="0"/>
        <w:autoSpaceDE/>
        <w:autoSpaceDN/>
        <w:bidi w:val="0"/>
        <w:adjustRightInd w:val="0"/>
        <w:snapToGrid w:val="0"/>
        <w:spacing w:line="560" w:lineRule="exact"/>
        <w:ind w:firstLine="4800" w:firstLineChars="1500"/>
        <w:jc w:val="both"/>
        <w:textAlignment w:val="auto"/>
        <w:rPr>
          <w:rFonts w:hint="eastAsia" w:ascii="仿宋_GB2312" w:hAnsi="仿宋_GB2312" w:eastAsia="仿宋_GB2312" w:cs="仿宋_GB2312"/>
          <w:sz w:val="32"/>
          <w:szCs w:val="32"/>
        </w:rPr>
      </w:pPr>
    </w:p>
    <w:p>
      <w:pPr>
        <w:pStyle w:val="2"/>
        <w:keepNext w:val="0"/>
        <w:keepLines w:val="0"/>
        <w:pageBreakBefore w:val="0"/>
        <w:widowControl/>
        <w:wordWrap/>
        <w:overflowPunct/>
        <w:topLinePunct w:val="0"/>
        <w:bidi w:val="0"/>
        <w:spacing w:line="560" w:lineRule="exact"/>
        <w:rPr>
          <w:rFonts w:hint="eastAsia"/>
        </w:rPr>
      </w:pPr>
    </w:p>
    <w:p>
      <w:pPr>
        <w:keepNext w:val="0"/>
        <w:keepLines w:val="0"/>
        <w:pageBreakBefore w:val="0"/>
        <w:widowControl/>
        <w:kinsoku/>
        <w:wordWrap/>
        <w:overflowPunct/>
        <w:topLinePunct w:val="0"/>
        <w:autoSpaceDE/>
        <w:autoSpaceDN/>
        <w:bidi w:val="0"/>
        <w:adjustRightInd w:val="0"/>
        <w:snapToGrid w:val="0"/>
        <w:spacing w:line="560" w:lineRule="exact"/>
        <w:ind w:firstLine="4800" w:firstLineChars="15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长治市上党区应急管理局</w:t>
      </w:r>
    </w:p>
    <w:p>
      <w:pPr>
        <w:keepNext w:val="0"/>
        <w:keepLines w:val="0"/>
        <w:pageBreakBefore w:val="0"/>
        <w:widowControl/>
        <w:kinsoku/>
        <w:wordWrap/>
        <w:overflowPunct/>
        <w:topLinePunct w:val="0"/>
        <w:autoSpaceDE/>
        <w:autoSpaceDN/>
        <w:bidi w:val="0"/>
        <w:adjustRightInd w:val="0"/>
        <w:snapToGrid w:val="0"/>
        <w:spacing w:line="560" w:lineRule="exact"/>
        <w:ind w:firstLine="5280" w:firstLineChars="16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p>
      <w:pPr>
        <w:pStyle w:val="2"/>
        <w:rPr>
          <w:rFonts w:hint="eastAsia" w:ascii="仿宋_GB2312" w:hAnsi="仿宋_GB2312" w:eastAsia="仿宋_GB2312" w:cs="仿宋_GB2312"/>
          <w:sz w:val="32"/>
          <w:szCs w:val="32"/>
        </w:rPr>
      </w:pPr>
    </w:p>
    <w:p>
      <w:pPr>
        <w:pStyle w:val="4"/>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4"/>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4"/>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4"/>
        <w:jc w:val="center"/>
        <w:rPr>
          <w:rFonts w:hint="eastAsia"/>
        </w:rPr>
      </w:pPr>
    </w:p>
    <w:p>
      <w:pPr>
        <w:rPr>
          <w:rFonts w:hint="eastAsia"/>
        </w:rPr>
      </w:pPr>
    </w:p>
    <w:p>
      <w:pPr>
        <w:pStyle w:val="2"/>
        <w:rPr>
          <w:rFonts w:hint="eastAsia"/>
        </w:rPr>
      </w:pPr>
    </w:p>
    <w:p>
      <w:pPr>
        <w:pStyle w:val="4"/>
        <w:rPr>
          <w:rFonts w:hint="eastAsia"/>
        </w:rPr>
      </w:pPr>
    </w:p>
    <w:p>
      <w:pPr>
        <w:rPr>
          <w:rFonts w:hint="eastAsia"/>
        </w:rPr>
      </w:pPr>
    </w:p>
    <w:p>
      <w:pPr>
        <w:pStyle w:val="2"/>
        <w:rPr>
          <w:rFonts w:hint="eastAsia"/>
        </w:rPr>
      </w:pPr>
    </w:p>
    <w:p>
      <w:pPr>
        <w:pStyle w:val="4"/>
        <w:rPr>
          <w:rFonts w:hint="eastAsia"/>
        </w:rPr>
      </w:pPr>
    </w:p>
    <w:p>
      <w:pPr>
        <w:rPr>
          <w:rFonts w:hint="eastAsia"/>
        </w:rPr>
      </w:pPr>
    </w:p>
    <w:p>
      <w:pPr>
        <w:pStyle w:val="2"/>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eastAsia="仿宋_GB2312"/>
          <w:lang w:val="en-US" w:eastAsia="zh-CN"/>
        </w:rPr>
      </w:pPr>
      <w:r>
        <w:rPr>
          <w:rFonts w:hint="eastAsia" w:ascii="仿宋_GB2312" w:hAnsi="仿宋_GB2312" w:eastAsia="仿宋_GB2312" w:cs="仿宋_GB2312"/>
          <w:color w:val="000000"/>
          <w:w w:val="97"/>
          <w:kern w:val="2"/>
          <w:sz w:val="28"/>
          <w:szCs w:val="28"/>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411480</wp:posOffset>
                </wp:positionV>
                <wp:extent cx="578167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781675"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5pt;margin-top:32.4pt;height:0.05pt;width:455.25pt;z-index:251659264;mso-width-relative:page;mso-height-relative:page;" filled="f" stroked="t" coordsize="21600,21600" o:gfxdata="UEsDBAoAAAAAAIdO4kAAAAAAAAAAAAAAAAAEAAAAZHJzL1BLAwQUAAAACACHTuJANzQGvNgAAAAI&#10;AQAADwAAAGRycy9kb3ducmV2LnhtbE2PTU/DMAyG70j8h8hI3LakE4y2NN0BNE0gLtuQuHpNaAqN&#10;0zXZB/8e7wRH+7VeP0+1OPteHO0Yu0AasqkCYakJpqNWw/t2OclBxIRksA9kNfzYCIv6+qrC0oQT&#10;re1xk1rBJRRL1OBSGkopY+OsxzgNgyXOPsPoMfE4ttKMeOJy38uZUnPpsSP+4HCwT84235uD14DP&#10;q3X6yGevD92Le/vaLvcrl++1vr3J1COIZM/p7xgu+IwONTPtwoFMFL2GScYqScP8jg04L1RxD2J3&#10;WRQg60r+F6h/AVBLAwQUAAAACACHTuJAQ4lXffsBAAD1AwAADgAAAGRycy9lMm9Eb2MueG1srVNL&#10;jhMxEN0jcQfLe9L5KMmolc4sJgwbBJGAAzi2u9uSf3I56eQSXACJHaxYsuc2zByDsrsJ89lkQS/c&#10;Zdfzc73n8ur6aDQ5yADK2YpORmNKpOVOKNtU9NPH21dXlEBkVjDtrKzoSQK9Xr98sep8KaeudVrI&#10;QJDEQtn5irYx+rIogLfSMBg5Ly0maxcMizgNTSEC65Dd6GI6Hi+KzgXhg+MSAFc3fZIOjOESQlfX&#10;isuN43sjbexZg9QsoiRolQe6ztXWteTxfV2DjERXFJXGPOIhGO/SWKxXrGwC863iQwnskhKeaDJM&#10;WTz0TLVhkZF9UM+ojOLBgavjiDtT9EKyI6hiMn7izYeWeZm1oNXgz6bD/6Pl7w7bQJSo6IwSywxe&#10;+N2Xn78/f7v/9RXHux/fySyZ1HkoEXtjt2GYgd+GpPhYB5P+qIUcs7Gns7HyGAnHxfnyarJYzinh&#10;mFvM5omx+LfVB4hvpDMkBRXVyibVrGSHtxB76F9IWtaWdNi50+UYb5Ez7MEa7x5D41EH2CZvBqeV&#10;uFVapy0Qmt2NDuTAUh/kb6jhESydsmHQ9ricSjBWtpKJ11aQePLokMWHQVMNRgpKtMR3lKKMjEzp&#10;S5AoX9tELXOXDkKTzb2xKdo5ccLb2fugmhaNmeSaUwa7ITs4dG5qt4dzjB++1v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zQGvNgAAAAIAQAADwAAAAAAAAABACAAAAAiAAAAZHJzL2Rvd25yZXYu&#10;eG1sUEsBAhQAFAAAAAgAh07iQEOJV337AQAA9QMAAA4AAAAAAAAAAQAgAAAAJwEAAGRycy9lMm9E&#10;b2MueG1sUEsFBgAAAAAGAAYAWQEAAJQFAAAAAA==&#10;">
                <v:fill on="f" focussize="0,0"/>
                <v:stroke weight="1pt" color="#000000" joinstyle="round"/>
                <v:imagedata o:title=""/>
                <o:lock v:ext="edit" aspectratio="f"/>
              </v:line>
            </w:pict>
          </mc:Fallback>
        </mc:AlternateContent>
      </w:r>
      <w:r>
        <w:rPr>
          <w:rFonts w:hint="eastAsia" w:ascii="仿宋_GB2312" w:hAnsi="仿宋_GB2312" w:eastAsia="仿宋_GB2312" w:cs="仿宋_GB2312"/>
          <w:color w:val="000000"/>
          <w:w w:val="97"/>
          <w:kern w:val="2"/>
          <w:sz w:val="28"/>
          <w:szCs w:val="28"/>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-25400</wp:posOffset>
                </wp:positionH>
                <wp:positionV relativeFrom="paragraph">
                  <wp:posOffset>68580</wp:posOffset>
                </wp:positionV>
                <wp:extent cx="576326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763260"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pt;margin-top:5.4pt;height:0.05pt;width:453.8pt;z-index:251661312;mso-width-relative:page;mso-height-relative:page;" filled="f" stroked="t" coordsize="21600,21600" o:gfxdata="UEsDBAoAAAAAAIdO4kAAAAAAAAAAAAAAAAAEAAAAZHJzL1BLAwQUAAAACACHTuJAC04KHtcAAAAI&#10;AQAADwAAAGRycy9kb3ducmV2LnhtbE2PzU7DMBCE70i8g7VI3Fq7BZU0xOkBVFUgLm2RuG6TJQ7E&#10;6zR2f3h7tic47sxodr5icfadOtIQ28AWJmMDirgKdcuNhfftcpSBigm5xi4wWfihCIvy+qrAvA4n&#10;XtNxkxolJRxztOBS6nOtY+XIYxyHnli8zzB4THIOja4HPEm57/TUmJn22LJ8cNjTk6Pqe3PwFvB5&#10;tU4f2fT1oX1xb1/b5X7lsr21tzcT8wgq0Tn9heEyX6ZDKZt24cB1VJ2F0b2gJNGNEIg/N3czULuL&#10;MAddFvo/QPkLUEsDBBQAAAAIAIdO4kCK/Aoj/AEAAPUDAAAOAAAAZHJzL2Uyb0RvYy54bWytU82O&#10;0zAQviPxDpbvNGlX7aKo6R62LBcElYAHmDpOYsl/8rhN+xK8ABI3OHHkztuwPAZjp5RlufRADs7Y&#10;M/PNfJ/Hy5uD0WwvAypnaz6dlJxJK1yjbFfz9+/unj3nDCPYBrSzsuZHifxm9fTJcvCVnLne6UYG&#10;RiAWq8HXvI/RV0WBopcGcOK8tORsXTAQaRu6ogkwELrRxawsF8XgQuODExKRTtejk58QwyWArm2V&#10;kGsndkbaOKIGqSESJeyVR77K3batFPFN26KMTNecmMa8UhGyt2ktVkuougC+V+LUAlzSwiNOBpSl&#10;omeoNURgu6D+gTJKBIeujRPhTDESyYoQi2n5SJu3PXiZuZDU6M+i4/+DFa/3m8BUU/M5ZxYMXfj9&#10;x28/Pnz++f0Trfdfv7B5EmnwWFHsrd2E0w79JiTGhzaY9Ccu7JCFPZ6FlYfIBB3OrxdXswVpLsi3&#10;uMqIxZ9UHzC+lM6wZNRcK5tYQwX7VxipHIX+DknH2rKBJnd2XSZEoBls6e7JNJ54oO1yMjqtmjul&#10;dUrB0G1vdWB7SHOQv8SKgP8KS1XWgP0Yl13jhPQSmhe2YfHoSSFLD4OnHoxsONOS3lGyCBCqCEpf&#10;EkmltU0JMk/piWiSeRQ2WVvXHOl2dj6oridhprnn5KFpyN2fJjeN28M92Q9f6+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04KHtcAAAAIAQAADwAAAAAAAAABACAAAAAiAAAAZHJzL2Rvd25yZXYu&#10;eG1sUEsBAhQAFAAAAAgAh07iQIr8CiP8AQAA9QMAAA4AAAAAAAAAAQAgAAAAJgEAAGRycy9lMm9E&#10;b2MueG1sUEsFBgAAAAAGAAYAWQEAAJQFAAAAAA==&#10;">
                <v:fill on="f" focussize="0,0"/>
                <v:stroke weight="1pt" color="#000000" joinstyle="round"/>
                <v:imagedata o:title=""/>
                <o:lock v:ext="edit" aspectratio="f"/>
              </v:line>
            </w:pict>
          </mc:Fallback>
        </mc:AlternateContent>
      </w:r>
      <w:r>
        <w:rPr>
          <w:rFonts w:ascii="Times New Roman" w:hAnsi="Times New Roman" w:eastAsia="宋体" w:cs="Times New Roman"/>
          <w:w w:val="97"/>
          <w:kern w:val="2"/>
          <w:sz w:val="28"/>
          <w:szCs w:val="28"/>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-358140</wp:posOffset>
                </wp:positionH>
                <wp:positionV relativeFrom="paragraph">
                  <wp:posOffset>648335</wp:posOffset>
                </wp:positionV>
                <wp:extent cx="1053465" cy="381000"/>
                <wp:effectExtent l="4445" t="4445" r="8890" b="14605"/>
                <wp:wrapNone/>
                <wp:docPr id="4" name="矩形 4"/>
                <wp:cNvGraphicFramePr/>
                <a:graphic xmlns:a="http://schemas.openxmlformats.org/drawingml/2006/main">
                  <a:graphicData uri="http://schemas.microsoft.com/office/word/2010/wordprocessingShape">
                    <wps:wsp>
                      <wps:cNvSpPr/>
                      <wps:spPr>
                        <a:xfrm>
                          <a:off x="0" y="0"/>
                          <a:ext cx="1053465" cy="38100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1"/>
                    </wps:wsp>
                  </a:graphicData>
                </a:graphic>
              </wp:anchor>
            </w:drawing>
          </mc:Choice>
          <mc:Fallback>
            <w:pict>
              <v:rect id="_x0000_s1026" o:spid="_x0000_s1026" o:spt="1" style="position:absolute;left:0pt;margin-left:-28.2pt;margin-top:51.05pt;height:30pt;width:82.95pt;z-index:251660288;mso-width-relative:page;mso-height-relative:page;" fillcolor="#FFFFFF" filled="t" stroked="t" coordsize="21600,21600" o:gfxdata="UEsDBAoAAAAAAIdO4kAAAAAAAAAAAAAAAAAEAAAAZHJzL1BLAwQUAAAACACHTuJAPehyJ9gAAAAL&#10;AQAADwAAAGRycy9kb3ducmV2LnhtbE2PS0/DMBCE70j8B2uRuLV2qjaCEKcSJYhLD6XAfessSYQf&#10;Uey++PVsT+W2uzOa/aZcnpwVBxpjH7yGbKpAkDeh6X2r4fPjdfIAIib0DdrgScOZIiyr25sSiyYc&#10;/TsdtqkVHOJjgRq6lIZCymg6chinYSDP2ncYHSZex1Y2Ix453Fk5UyqXDnvPHzocaNWR+dnunYYN&#10;4svm982Y5/q8nte0+qopWK3v7zL1BCLRKV3NcMFndKiYaRf2vonCapgs8jlbWVCzDMTFoR4XIHY8&#10;5HyRVSn/d6j+AFBLAwQUAAAACACHTuJAV00MqgMCAAA3BAAADgAAAGRycy9lMm9Eb2MueG1srVPN&#10;jtMwEL4j8Q6W7zRpt7taoqZ7oJQLgpV2eQDXmSSW/CeP26RPg8SNh+BxEK/B2Clld7n0QA7OjD3+&#10;Zr5vxqu70Wh2gIDK2ZrPZyVnYKVrlO1q/uVx++aWM4zCNkI7CzU/AvK79etXq8FXsHC90w0ERiAW&#10;q8HXvI/RV0WBsgcjcOY8WDpsXTAikhu6ogliIHSji0VZ3hSDC40PTgIi7W6mQ35CDJcAurZVEjZO&#10;7g3YOKEG0CISJeyVR77O1bYtyPi5bREi0zUnpjGvlITsXVqL9UpUXRC+V/JUgrikhBecjFCWkp6h&#10;NiIKtg/qHyijZHDo2jiTzhQTkawIsZiXL7R56IWHzIWkRn8WHf8frPx0uA9MNTVfcmaFoYb/+vr9&#10;549vbJm0GTxWFPLg78PJQzIT0bENJv2JAhuznseznjBGJmlzXl5fLW+uOZN0dnU7L8ssePH3tg8Y&#10;P4AzLBk1D9SvLKM4fMRIGSn0T0hKhk6rZqu0zk7odu90YAdBvd3mL5VMV56FacuGmr+9XqQ6BA1s&#10;S4NCpvFEGm2X8z27gZcBp8I2AvupgIwwjZNREZJcoupBNO9tw+LRk7CW3hNPxRhoONNAzy9ZOTIK&#10;pS+JJHbaJmjIw31SKbVpakyy4rgbCTSZO9ccqb97H1TXk8DzrFA6oXnKWp1mPw3sU5/sp+99/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96HIn2AAAAAsBAAAPAAAAAAAAAAEAIAAAACIAAABkcnMv&#10;ZG93bnJldi54bWxQSwECFAAUAAAACACHTuJAV00MqgMCAAA3BAAADgAAAAAAAAABACAAAAAnAQAA&#10;ZHJzL2Uyb0RvYy54bWxQSwUGAAAAAAYABgBZAQAAnAUAAAAA&#10;">
                <v:fill on="t" focussize="0,0"/>
                <v:stroke color="#FFFFFF" joinstyle="miter"/>
                <v:imagedata o:title=""/>
                <o:lock v:ext="edit" aspectratio="f"/>
                <v:textbox>
                  <w:txbxContent>
                    <w:p/>
                  </w:txbxContent>
                </v:textbox>
              </v:rect>
            </w:pict>
          </mc:Fallback>
        </mc:AlternateContent>
      </w:r>
      <w:r>
        <w:rPr>
          <w:rFonts w:hint="eastAsia" w:ascii="仿宋_GB2312" w:hAnsi="仿宋_GB2312" w:eastAsia="仿宋_GB2312" w:cs="仿宋_GB2312"/>
          <w:color w:val="000000"/>
          <w:w w:val="97"/>
          <w:sz w:val="28"/>
          <w:szCs w:val="28"/>
        </w:rPr>
        <w:t xml:space="preserve"> </w:t>
      </w:r>
      <w:r>
        <w:rPr>
          <w:rFonts w:hint="eastAsia" w:ascii="仿宋_GB2312" w:hAnsi="仿宋_GB2312" w:eastAsia="仿宋_GB2312" w:cs="仿宋_GB2312"/>
          <w:color w:val="000000"/>
          <w:w w:val="97"/>
          <w:sz w:val="28"/>
          <w:szCs w:val="28"/>
          <w:lang w:val="en-US" w:eastAsia="zh-CN"/>
        </w:rPr>
        <w:t xml:space="preserve"> </w:t>
      </w:r>
      <w:r>
        <w:rPr>
          <w:rFonts w:hint="eastAsia" w:ascii="仿宋_GB2312" w:hAnsi="仿宋_GB2312" w:eastAsia="仿宋_GB2312" w:cs="仿宋_GB2312"/>
          <w:color w:val="000000"/>
          <w:w w:val="97"/>
          <w:sz w:val="28"/>
          <w:szCs w:val="28"/>
        </w:rPr>
        <w:t>长治市</w:t>
      </w:r>
      <w:r>
        <w:rPr>
          <w:rFonts w:hint="eastAsia" w:ascii="仿宋_GB2312" w:hAnsi="仿宋_GB2312" w:eastAsia="仿宋_GB2312" w:cs="仿宋_GB2312"/>
          <w:color w:val="000000"/>
          <w:w w:val="97"/>
          <w:sz w:val="28"/>
          <w:szCs w:val="28"/>
          <w:lang w:eastAsia="zh-CN"/>
        </w:rPr>
        <w:t>上党区</w:t>
      </w:r>
      <w:r>
        <w:rPr>
          <w:rFonts w:hint="eastAsia" w:ascii="仿宋_GB2312" w:hAnsi="仿宋_GB2312" w:eastAsia="仿宋_GB2312" w:cs="仿宋_GB2312"/>
          <w:color w:val="000000"/>
          <w:w w:val="97"/>
          <w:sz w:val="28"/>
          <w:szCs w:val="28"/>
          <w:lang w:val="en-US" w:eastAsia="zh-CN"/>
        </w:rPr>
        <w:t xml:space="preserve">应急管理局办公室               </w:t>
      </w:r>
      <w:r>
        <w:rPr>
          <w:rFonts w:hint="eastAsia" w:ascii="仿宋_GB2312" w:hAnsi="仿宋_GB2312" w:eastAsia="仿宋_GB2312" w:cs="仿宋_GB2312"/>
          <w:color w:val="000000"/>
          <w:w w:val="97"/>
          <w:sz w:val="28"/>
          <w:szCs w:val="28"/>
        </w:rPr>
        <w:t>20</w:t>
      </w:r>
      <w:r>
        <w:rPr>
          <w:rFonts w:hint="eastAsia" w:ascii="仿宋_GB2312" w:hAnsi="仿宋_GB2312" w:eastAsia="仿宋_GB2312" w:cs="仿宋_GB2312"/>
          <w:color w:val="000000"/>
          <w:w w:val="97"/>
          <w:sz w:val="28"/>
          <w:szCs w:val="28"/>
          <w:lang w:val="en-US" w:eastAsia="zh-CN"/>
        </w:rPr>
        <w:t>23</w:t>
      </w:r>
      <w:r>
        <w:rPr>
          <w:rFonts w:hint="eastAsia" w:ascii="仿宋_GB2312" w:hAnsi="仿宋_GB2312" w:eastAsia="仿宋_GB2312" w:cs="仿宋_GB2312"/>
          <w:color w:val="000000"/>
          <w:w w:val="97"/>
          <w:sz w:val="28"/>
          <w:szCs w:val="28"/>
        </w:rPr>
        <w:t>年</w:t>
      </w:r>
      <w:r>
        <w:rPr>
          <w:rFonts w:hint="eastAsia" w:ascii="仿宋_GB2312" w:hAnsi="仿宋_GB2312" w:eastAsia="仿宋_GB2312" w:cs="仿宋_GB2312"/>
          <w:color w:val="000000"/>
          <w:w w:val="97"/>
          <w:sz w:val="28"/>
          <w:szCs w:val="28"/>
          <w:lang w:val="en-US" w:eastAsia="zh-CN"/>
        </w:rPr>
        <w:t>6</w:t>
      </w:r>
      <w:r>
        <w:rPr>
          <w:rFonts w:hint="eastAsia" w:ascii="仿宋_GB2312" w:hAnsi="仿宋_GB2312" w:eastAsia="仿宋_GB2312" w:cs="仿宋_GB2312"/>
          <w:color w:val="000000"/>
          <w:w w:val="97"/>
          <w:sz w:val="28"/>
          <w:szCs w:val="28"/>
        </w:rPr>
        <w:t>月</w:t>
      </w:r>
      <w:r>
        <w:rPr>
          <w:rFonts w:hint="eastAsia" w:ascii="仿宋_GB2312" w:hAnsi="仿宋_GB2312" w:eastAsia="仿宋_GB2312" w:cs="仿宋_GB2312"/>
          <w:color w:val="000000"/>
          <w:w w:val="97"/>
          <w:sz w:val="28"/>
          <w:szCs w:val="28"/>
          <w:lang w:val="en-US" w:eastAsia="zh-CN"/>
        </w:rPr>
        <w:t>20</w:t>
      </w:r>
      <w:r>
        <w:rPr>
          <w:rFonts w:hint="eastAsia" w:ascii="仿宋_GB2312" w:hAnsi="仿宋_GB2312" w:eastAsia="仿宋_GB2312" w:cs="仿宋_GB2312"/>
          <w:color w:val="000000"/>
          <w:w w:val="97"/>
          <w:sz w:val="28"/>
          <w:szCs w:val="28"/>
        </w:rPr>
        <w:t>日印</w:t>
      </w:r>
      <w:r>
        <w:rPr>
          <w:rFonts w:hint="eastAsia" w:ascii="仿宋_GB2312" w:hAnsi="仿宋_GB2312" w:eastAsia="仿宋_GB2312" w:cs="仿宋_GB2312"/>
          <w:color w:val="000000"/>
          <w:w w:val="97"/>
          <w:sz w:val="28"/>
          <w:szCs w:val="28"/>
          <w:lang w:val="en-US" w:eastAsia="zh-CN"/>
        </w:rPr>
        <w:t>发</w:t>
      </w:r>
    </w:p>
    <w:sectPr>
      <w:footerReference r:id="rId5" w:type="default"/>
      <w:pgSz w:w="11907" w:h="16839"/>
      <w:pgMar w:top="1701" w:right="1531" w:bottom="1531" w:left="1531" w:header="0" w:footer="0" w:gutter="0"/>
      <w:pgNumType w:fmt="decimal" w:start="2"/>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posOffset>2767965</wp:posOffset>
              </wp:positionH>
              <wp:positionV relativeFrom="paragraph">
                <wp:posOffset>-628650</wp:posOffset>
              </wp:positionV>
              <wp:extent cx="118110" cy="168148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18110" cy="1681480"/>
                      </a:xfrm>
                      <a:prstGeom prst="rect">
                        <a:avLst/>
                      </a:prstGeom>
                      <a:noFill/>
                      <a:ln>
                        <a:noFill/>
                      </a:ln>
                    </wps:spPr>
                    <wps:txbx>
                      <w:txbxContent>
                        <w:p>
                          <w:pPr>
                            <w:pStyle w:val="6"/>
                          </w:pPr>
                          <w:r>
                            <w:fldChar w:fldCharType="begin"/>
                          </w:r>
                          <w:r>
                            <w:instrText xml:space="preserve"> PAGE  \* MERGEFORMAT </w:instrText>
                          </w:r>
                          <w:r>
                            <w:fldChar w:fldCharType="separate"/>
                          </w:r>
                          <w:r>
                            <w:t>2</w:t>
                          </w:r>
                          <w:r>
                            <w:fldChar w:fldCharType="end"/>
                          </w:r>
                        </w:p>
                      </w:txbxContent>
                    </wps:txbx>
                    <wps:bodyPr vert="horz" lIns="0" tIns="0" rIns="0" bIns="0" anchor="t" anchorCtr="0" upright="0"/>
                  </wps:wsp>
                </a:graphicData>
              </a:graphic>
            </wp:anchor>
          </w:drawing>
        </mc:Choice>
        <mc:Fallback>
          <w:pict>
            <v:shape id="文本框 21" o:spid="_x0000_s1026" o:spt="202" type="#_x0000_t202" style="position:absolute;left:0pt;margin-left:217.95pt;margin-top:-49.5pt;height:132.4pt;width:9.3pt;mso-position-horizontal-relative:margin;z-index:251662336;mso-width-relative:page;mso-height-relative:page;" filled="f" stroked="f" coordsize="21600,21600" o:gfxdata="UEsDBAoAAAAAAIdO4kAAAAAAAAAAAAAAAAAEAAAAZHJzL1BLAwQUAAAACACHTuJADdg42toAAAAL&#10;AQAADwAAAGRycy9kb3ducmV2LnhtbE2Py07DMBBF90j8gzVI7Fq7kERNiFMhBCukijQsWDqxm1iN&#10;xyF2H/w90xUsR3N077nl5uJGdjJzsB4lrJYCmMHOa4u9hM/mbbEGFqJCrUaPRsKPCbCpbm9KVWh/&#10;xtqcdrFnFIKhUBKGGKeC89ANxqmw9JNB+u397FSkc+65ntWZwt3IH4TIuFMWqWFQk3kZTHfYHZ2E&#10;5y+sX+33tv2o97Vtmlzge3aQ8v5uJZ6ARXOJfzBc9UkdKnJq/RF1YKOE5DHNCZWwyHMaRUSSJimw&#10;ltAsXQOvSv5/Q/ULUEsDBBQAAAAIAIdO4kCZsxPN0AEAAJgDAAAOAAAAZHJzL2Uyb0RvYy54bWyt&#10;U8Fu2zAMvQ/oPwi6N46DoQiMOAW2oMOAYRvQ7QMUWY4FSKJAKbGzD9j+YKdddt935TtGyXG6tZce&#10;epEpknrke6RXt4M17KAwaHA1L2dzzpST0Gi3q/nXL3fXS85CFK4RBpyq+VEFfru+erXqfaUW0IFp&#10;FDICcaHqfc27GH1VFEF2yoowA68cBVtAKyJdcVc0KHpCt6ZYzOc3RQ/YeASpQiDvZgzyMyI+BxDa&#10;Vku1Abm3ysURFZURkSiFTvvA17nbtlUyfmrboCIzNSemMZ9UhOxtOov1SlQ7FL7T8tyCeE4LjzhZ&#10;oR0VvUBtRBRsj/oJlNUSIUAbZxJsMRLJihCLcv5Im/tOeJW5kNTBX0QPLwcrPx4+I9NNzRecOWFp&#10;4KefP06//px+f2eLMunT+1BR2r2nxDi8gYG2ZvIHcibaQ4s2fYkQozipe7yoq4bIZHpULsuSIpJC&#10;5c2yfL3M8hcPrz2G+E6BZcmoOdL0sqji8CFE6oRSp5RUzMGdNiZP0Lj/HJSYPEVqfWwxWXHYDmc+&#10;W2iORId+A6rTAX7jzLx3pGvakcnAydhOhnCSkmseORvNt3Hcpb1HvevydqU+UzUaWO74vFxpI/69&#10;56yHH2r9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3YONraAAAACwEAAA8AAAAAAAAAAQAgAAAA&#10;IgAAAGRycy9kb3ducmV2LnhtbFBLAQIUABQAAAAIAIdO4kCZsxPN0AEAAJgDAAAOAAAAAAAAAAEA&#10;IAAAACkBAABkcnMvZTJvRG9jLnhtbFBLBQYAAAAABgAGAFkBAABrBQAAAAA=&#10;">
              <v:fill on="f" focussize="0,0"/>
              <v:stroke on="f"/>
              <v:imagedata o:title=""/>
              <o:lock v:ext="edit" aspectratio="f"/>
              <v:textbox inset="0mm,0mm,0mm,0mm">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isplayHorizontalDrawingGridEvery w:val="2"/>
  <w:characterSpacingControl w:val="doNotCompress"/>
  <w:hdrShapeDefaults>
    <o:shapelayout v:ext="edit">
      <o:idmap v:ext="edit" data="2"/>
    </o:shapelayout>
  </w:hdrShapeDefault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ZTA1MjExMTU4YmIyZTYzZTE2NDg0N2MxZjRjZGEifQ=="/>
    <w:docVar w:name="KSO_WPS_MARK_KEY" w:val="06c89e3a-20c2-4cd7-a3ea-378e47ed7d1c"/>
  </w:docVars>
  <w:rsids>
    <w:rsidRoot w:val="008A1856"/>
    <w:rsid w:val="00436A62"/>
    <w:rsid w:val="00517483"/>
    <w:rsid w:val="008A1856"/>
    <w:rsid w:val="03165668"/>
    <w:rsid w:val="08564759"/>
    <w:rsid w:val="098D02CC"/>
    <w:rsid w:val="0D505E05"/>
    <w:rsid w:val="0E2B73E7"/>
    <w:rsid w:val="0EDB1894"/>
    <w:rsid w:val="0F751969"/>
    <w:rsid w:val="10152804"/>
    <w:rsid w:val="128F4AEF"/>
    <w:rsid w:val="12D76496"/>
    <w:rsid w:val="1505092F"/>
    <w:rsid w:val="18356139"/>
    <w:rsid w:val="19BE7ED6"/>
    <w:rsid w:val="1AFC0B82"/>
    <w:rsid w:val="203123C2"/>
    <w:rsid w:val="225D7DE5"/>
    <w:rsid w:val="26E534A5"/>
    <w:rsid w:val="2A88659C"/>
    <w:rsid w:val="2B0D4834"/>
    <w:rsid w:val="2D9D235F"/>
    <w:rsid w:val="2E2465DC"/>
    <w:rsid w:val="2FB44EF7"/>
    <w:rsid w:val="306E7FE2"/>
    <w:rsid w:val="32425283"/>
    <w:rsid w:val="328C49EF"/>
    <w:rsid w:val="336456CD"/>
    <w:rsid w:val="36F839EE"/>
    <w:rsid w:val="3CD04900"/>
    <w:rsid w:val="3D566086"/>
    <w:rsid w:val="3FDC0AD5"/>
    <w:rsid w:val="41087697"/>
    <w:rsid w:val="41CC2DBB"/>
    <w:rsid w:val="41E3601D"/>
    <w:rsid w:val="45EA7CB3"/>
    <w:rsid w:val="45FE2E05"/>
    <w:rsid w:val="4E2B70BB"/>
    <w:rsid w:val="4EA761BA"/>
    <w:rsid w:val="50577CF3"/>
    <w:rsid w:val="506765BF"/>
    <w:rsid w:val="569F41A2"/>
    <w:rsid w:val="58637C04"/>
    <w:rsid w:val="58DD4440"/>
    <w:rsid w:val="5A84202D"/>
    <w:rsid w:val="5BD84602"/>
    <w:rsid w:val="5C6F26D6"/>
    <w:rsid w:val="5CDB5721"/>
    <w:rsid w:val="5DB76275"/>
    <w:rsid w:val="5DC936FB"/>
    <w:rsid w:val="60D158A0"/>
    <w:rsid w:val="62B62F9F"/>
    <w:rsid w:val="6C9112F1"/>
    <w:rsid w:val="6D602485"/>
    <w:rsid w:val="6E431BBB"/>
    <w:rsid w:val="7047536D"/>
    <w:rsid w:val="71C34A90"/>
    <w:rsid w:val="71FB09CF"/>
    <w:rsid w:val="7372081D"/>
    <w:rsid w:val="74E05C5A"/>
    <w:rsid w:val="76434AEA"/>
    <w:rsid w:val="776A5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next w:val="4"/>
    <w:qFormat/>
    <w:uiPriority w:val="0"/>
    <w:pPr>
      <w:ind w:left="200" w:leftChars="200"/>
    </w:pPr>
    <w:rPr>
      <w:rFonts w:ascii="Calibri" w:hAnsi="Calibri" w:eastAsia="仿宋_GB2312" w:cs="Times New Roman"/>
      <w:sz w:val="32"/>
      <w:szCs w:val="32"/>
    </w:rPr>
  </w:style>
  <w:style w:type="paragraph" w:customStyle="1" w:styleId="3">
    <w:name w:val="正文文本缩进1"/>
    <w:basedOn w:val="1"/>
    <w:qFormat/>
    <w:uiPriority w:val="0"/>
    <w:pPr>
      <w:ind w:left="200" w:leftChars="200"/>
    </w:pPr>
    <w:rPr>
      <w:rFonts w:ascii="Times New Roman" w:hAnsi="Times New Roman" w:eastAsia="宋体" w:cs="Times New Roman"/>
    </w:rPr>
  </w:style>
  <w:style w:type="paragraph" w:styleId="4">
    <w:name w:val="Normal (Web)"/>
    <w:basedOn w:val="1"/>
    <w:next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paragraph" w:styleId="5">
    <w:name w:val="Balloon Text"/>
    <w:basedOn w:val="1"/>
    <w:link w:val="14"/>
    <w:qFormat/>
    <w:uiPriority w:val="0"/>
    <w:rPr>
      <w:sz w:val="18"/>
      <w:szCs w:val="18"/>
    </w:rPr>
  </w:style>
  <w:style w:type="paragraph" w:styleId="6">
    <w:name w:val="footer"/>
    <w:basedOn w:val="1"/>
    <w:link w:val="13"/>
    <w:qFormat/>
    <w:uiPriority w:val="0"/>
    <w:pPr>
      <w:tabs>
        <w:tab w:val="center" w:pos="4153"/>
        <w:tab w:val="right" w:pos="8306"/>
      </w:tabs>
    </w:pPr>
    <w:rPr>
      <w:sz w:val="18"/>
      <w:szCs w:val="18"/>
    </w:rPr>
  </w:style>
  <w:style w:type="paragraph" w:styleId="7">
    <w:name w:val="header"/>
    <w:basedOn w:val="1"/>
    <w:link w:val="12"/>
    <w:qFormat/>
    <w:uiPriority w:val="0"/>
    <w:pPr>
      <w:pBdr>
        <w:bottom w:val="single" w:color="auto" w:sz="6" w:space="1"/>
      </w:pBdr>
      <w:tabs>
        <w:tab w:val="center" w:pos="4153"/>
        <w:tab w:val="right" w:pos="8306"/>
      </w:tabs>
      <w:jc w:val="center"/>
    </w:pPr>
    <w:rPr>
      <w:sz w:val="18"/>
      <w:szCs w:val="18"/>
    </w:rPr>
  </w:style>
  <w:style w:type="character" w:styleId="10">
    <w:name w:val="page number"/>
    <w:basedOn w:val="9"/>
    <w:qFormat/>
    <w:uiPriority w:val="99"/>
    <w:rPr>
      <w:rFonts w:cs="Times New Roman"/>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页眉 Char"/>
    <w:basedOn w:val="9"/>
    <w:link w:val="7"/>
    <w:qFormat/>
    <w:uiPriority w:val="0"/>
    <w:rPr>
      <w:rFonts w:eastAsia="Arial"/>
      <w:snapToGrid w:val="0"/>
      <w:color w:val="000000"/>
      <w:sz w:val="18"/>
      <w:szCs w:val="18"/>
    </w:rPr>
  </w:style>
  <w:style w:type="character" w:customStyle="1" w:styleId="13">
    <w:name w:val="页脚 Char"/>
    <w:basedOn w:val="9"/>
    <w:link w:val="6"/>
    <w:qFormat/>
    <w:uiPriority w:val="0"/>
    <w:rPr>
      <w:rFonts w:eastAsia="Arial"/>
      <w:snapToGrid w:val="0"/>
      <w:color w:val="000000"/>
      <w:sz w:val="18"/>
      <w:szCs w:val="18"/>
    </w:rPr>
  </w:style>
  <w:style w:type="character" w:customStyle="1" w:styleId="14">
    <w:name w:val="批注框文本 Char"/>
    <w:basedOn w:val="9"/>
    <w:link w:val="5"/>
    <w:qFormat/>
    <w:uiPriority w:val="0"/>
    <w:rPr>
      <w:rFonts w:eastAsia="Arial"/>
      <w:snapToGrid w:val="0"/>
      <w:color w:val="000000"/>
      <w:sz w:val="18"/>
      <w:szCs w:val="18"/>
    </w:rPr>
  </w:style>
  <w:style w:type="paragraph" w:customStyle="1" w:styleId="15">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2183</Words>
  <Characters>2307</Characters>
  <Lines>2</Lines>
  <Paragraphs>1</Paragraphs>
  <TotalTime>10</TotalTime>
  <ScaleCrop>false</ScaleCrop>
  <LinksUpToDate>false</LinksUpToDate>
  <CharactersWithSpaces>2332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2022-10-11T16:39:00Z</dcterms:created>
  <dc:creator>Kingsoft-PDF</dc:creator>
  <cp:keywords>63452bb62b8934001591321d</cp:keywords>
  <cp:lastModifiedBy>知海无涯</cp:lastModifiedBy>
  <cp:lastPrinted>2023-07-19T08:11:00Z</cp:lastPrinted>
  <dcterms:modified xsi:type="dcterms:W3CDTF">2023-07-26T01:06:32Z</dcterms:modified>
  <dc:subject>pdfbuilder</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2022-10-11T16:39:23Z</vt:filetime>
  </property>
  <property fmtid="{D5CDD505-2E9C-101B-9397-08002B2CF9AE}" pid="4" name="KSOProductBuildVer">
    <vt:lpwstr>2052-12.1.0.15120</vt:lpwstr>
  </property>
  <property fmtid="{D5CDD505-2E9C-101B-9397-08002B2CF9AE}" pid="5" name="ICV">
    <vt:lpwstr>C7100501D6B34734A52C723BC0B4E036_13</vt:lpwstr>
  </property>
</Properties>
</file>