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7" w:afterAutospacing="0" w:line="600" w:lineRule="exact"/>
        <w:ind w:left="0" w:right="0" w:firstLine="0"/>
        <w:jc w:val="center"/>
        <w:textAlignment w:val="auto"/>
        <w:rPr>
          <w:rFonts w:hint="eastAsia" w:ascii="方正小标宋简体" w:hAnsi="方正小标宋简体" w:eastAsia="方正小标宋简体" w:cs="方正小标宋简体"/>
          <w:b/>
          <w:i w:val="0"/>
          <w:caps w:val="0"/>
          <w:color w:val="000000"/>
          <w:spacing w:val="0"/>
          <w:sz w:val="44"/>
          <w:szCs w:val="44"/>
          <w:lang w:val="en-US" w:eastAsia="zh-CN"/>
        </w:rPr>
      </w:pPr>
      <w:r>
        <w:rPr>
          <w:rFonts w:hint="eastAsia" w:ascii="方正小标宋简体" w:hAnsi="方正小标宋简体" w:eastAsia="方正小标宋简体" w:cs="方正小标宋简体"/>
          <w:b/>
          <w:i w:val="0"/>
          <w:caps w:val="0"/>
          <w:color w:val="000000"/>
          <w:spacing w:val="0"/>
          <w:sz w:val="44"/>
          <w:szCs w:val="44"/>
          <w:lang w:val="en-US" w:eastAsia="zh-CN"/>
        </w:rPr>
        <w:t>苏店镇人民政府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i w:val="0"/>
          <w:caps w:val="0"/>
          <w:color w:val="000000"/>
          <w:spacing w:val="0"/>
          <w:sz w:val="44"/>
          <w:szCs w:val="44"/>
        </w:rPr>
      </w:pPr>
      <w:r>
        <w:rPr>
          <w:rFonts w:hint="eastAsia" w:ascii="方正小标宋简体" w:hAnsi="方正小标宋简体" w:eastAsia="方正小标宋简体" w:cs="方正小标宋简体"/>
          <w:b/>
          <w:i w:val="0"/>
          <w:caps w:val="0"/>
          <w:color w:val="000000"/>
          <w:spacing w:val="0"/>
          <w:sz w:val="44"/>
          <w:szCs w:val="44"/>
          <w:lang w:val="en-US" w:eastAsia="zh-CN"/>
        </w:rPr>
        <w:t>2024年</w:t>
      </w:r>
      <w:r>
        <w:rPr>
          <w:rFonts w:hint="eastAsia" w:ascii="方正小标宋简体" w:hAnsi="方正小标宋简体" w:eastAsia="方正小标宋简体" w:cs="方正小标宋简体"/>
          <w:b/>
          <w:i w:val="0"/>
          <w:caps w:val="0"/>
          <w:color w:val="000000"/>
          <w:spacing w:val="0"/>
          <w:sz w:val="44"/>
          <w:szCs w:val="44"/>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b/>
          <w:i w:val="0"/>
          <w:caps w:val="0"/>
          <w:color w:val="000000"/>
          <w:spacing w:val="0"/>
          <w:sz w:val="28"/>
          <w:szCs w:val="28"/>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国标黑体" w:hAnsi="国标黑体" w:eastAsia="国标黑体" w:cs="国标黑体"/>
          <w:b w:val="0"/>
          <w:bCs/>
          <w:i w:val="0"/>
          <w:caps w:val="0"/>
          <w:color w:val="auto"/>
          <w:spacing w:val="0"/>
          <w:sz w:val="32"/>
          <w:szCs w:val="32"/>
        </w:rPr>
      </w:pPr>
      <w:r>
        <w:rPr>
          <w:rFonts w:hint="eastAsia" w:ascii="国标黑体" w:hAnsi="国标黑体" w:eastAsia="国标黑体" w:cs="国标黑体"/>
          <w:b w:val="0"/>
          <w:bCs/>
          <w:i w:val="0"/>
          <w:caps w:val="0"/>
          <w:color w:val="auto"/>
          <w:spacing w:val="0"/>
          <w:sz w:val="32"/>
          <w:szCs w:val="32"/>
        </w:rPr>
        <w:t>总体情况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CESI仿宋-GB2312" w:hAnsi="CESI仿宋-GB2312" w:eastAsia="CESI仿宋-GB2312" w:cs="CESI仿宋-GB2312"/>
          <w:b w:val="0"/>
          <w:bCs w:val="0"/>
          <w:i w:val="0"/>
          <w:caps w:val="0"/>
          <w:color w:val="auto"/>
          <w:spacing w:val="0"/>
          <w:sz w:val="32"/>
          <w:szCs w:val="32"/>
        </w:rPr>
      </w:pPr>
      <w:r>
        <w:rPr>
          <w:rFonts w:hint="eastAsia" w:ascii="CESI仿宋-GB2312" w:hAnsi="CESI仿宋-GB2312" w:eastAsia="CESI仿宋-GB2312" w:cs="CESI仿宋-GB2312"/>
          <w:b w:val="0"/>
          <w:bCs w:val="0"/>
          <w:i w:val="0"/>
          <w:caps w:val="0"/>
          <w:color w:val="auto"/>
          <w:spacing w:val="0"/>
          <w:sz w:val="32"/>
          <w:szCs w:val="32"/>
        </w:rPr>
        <w:t>202</w:t>
      </w:r>
      <w:r>
        <w:rPr>
          <w:rFonts w:hint="eastAsia" w:ascii="CESI仿宋-GB2312" w:hAnsi="CESI仿宋-GB2312" w:eastAsia="CESI仿宋-GB2312" w:cs="CESI仿宋-GB2312"/>
          <w:b w:val="0"/>
          <w:bCs w:val="0"/>
          <w:i w:val="0"/>
          <w:caps w:val="0"/>
          <w:color w:val="auto"/>
          <w:spacing w:val="0"/>
          <w:sz w:val="32"/>
          <w:szCs w:val="32"/>
          <w:lang w:val="en-US" w:eastAsia="zh-CN"/>
        </w:rPr>
        <w:t>4</w:t>
      </w:r>
      <w:r>
        <w:rPr>
          <w:rFonts w:hint="eastAsia" w:ascii="CESI仿宋-GB2312" w:hAnsi="CESI仿宋-GB2312" w:eastAsia="CESI仿宋-GB2312" w:cs="CESI仿宋-GB2312"/>
          <w:b w:val="0"/>
          <w:bCs w:val="0"/>
          <w:i w:val="0"/>
          <w:caps w:val="0"/>
          <w:color w:val="auto"/>
          <w:spacing w:val="0"/>
          <w:sz w:val="32"/>
          <w:szCs w:val="32"/>
        </w:rPr>
        <w:t>年，在区委、区政府的正确领导下，苏店镇人民政府认真贯彻落实《中华人民共和国政府信息公开条例》（以下简称《条例》）要求，坚持以提升政务公开工作质量为中心，以服务群众为立足点，着力抓好阳光政务和政策宣讲，保障信息公开工作及时、高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CESI楷体-GB2312" w:hAnsi="CESI楷体-GB2312" w:eastAsia="CESI楷体-GB2312" w:cs="CESI楷体-GB2312"/>
          <w:b w:val="0"/>
          <w:bCs w:val="0"/>
          <w:color w:val="333333"/>
          <w:sz w:val="32"/>
          <w:szCs w:val="32"/>
        </w:rPr>
      </w:pPr>
      <w:r>
        <w:rPr>
          <w:rFonts w:hint="eastAsia" w:ascii="CESI楷体-GB2312" w:hAnsi="CESI楷体-GB2312" w:eastAsia="CESI楷体-GB2312" w:cs="CESI楷体-GB2312"/>
          <w:b w:val="0"/>
          <w:bCs w:val="0"/>
          <w:i w:val="0"/>
          <w:iCs w:val="0"/>
          <w:caps w:val="0"/>
          <w:color w:val="000000"/>
          <w:spacing w:val="0"/>
          <w:sz w:val="32"/>
          <w:szCs w:val="32"/>
          <w:shd w:val="clear" w:fill="FFFFFF"/>
        </w:rPr>
        <w:t>（一）主动公开情况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CESI仿宋-GB2312" w:hAnsi="CESI仿宋-GB2312" w:eastAsia="CESI仿宋-GB2312" w:cs="CESI仿宋-GB2312"/>
          <w:i w:val="0"/>
          <w:iCs w:val="0"/>
          <w:caps w:val="0"/>
          <w:color w:val="333333"/>
          <w:spacing w:val="0"/>
          <w:sz w:val="32"/>
          <w:szCs w:val="32"/>
          <w:shd w:val="clear" w:color="auto" w:fill="FFFFFF"/>
          <w:lang w:eastAsia="zh-CN"/>
        </w:rPr>
      </w:pPr>
      <w:r>
        <w:rPr>
          <w:rFonts w:hint="eastAsia" w:ascii="CESI仿宋-GB2312" w:hAnsi="CESI仿宋-GB2312" w:eastAsia="CESI仿宋-GB2312" w:cs="CESI仿宋-GB2312"/>
          <w:i w:val="0"/>
          <w:iCs w:val="0"/>
          <w:caps w:val="0"/>
          <w:color w:val="333333"/>
          <w:spacing w:val="0"/>
          <w:sz w:val="32"/>
          <w:szCs w:val="32"/>
          <w:shd w:val="clear" w:color="auto" w:fill="FFFFFF"/>
          <w:lang w:eastAsia="zh-CN"/>
        </w:rPr>
        <w:t>202</w:t>
      </w:r>
      <w:r>
        <w:rPr>
          <w:rFonts w:hint="eastAsia" w:ascii="CESI仿宋-GB2312" w:hAnsi="CESI仿宋-GB2312" w:eastAsia="CESI仿宋-GB2312" w:cs="CESI仿宋-GB2312"/>
          <w:i w:val="0"/>
          <w:iCs w:val="0"/>
          <w:caps w:val="0"/>
          <w:color w:val="333333"/>
          <w:spacing w:val="0"/>
          <w:sz w:val="32"/>
          <w:szCs w:val="32"/>
          <w:shd w:val="clear" w:color="auto" w:fill="FFFFFF"/>
          <w:lang w:val="en-US" w:eastAsia="zh-CN"/>
        </w:rPr>
        <w:t>4</w:t>
      </w:r>
      <w:r>
        <w:rPr>
          <w:rFonts w:hint="eastAsia" w:ascii="CESI仿宋-GB2312" w:hAnsi="CESI仿宋-GB2312" w:eastAsia="CESI仿宋-GB2312" w:cs="CESI仿宋-GB2312"/>
          <w:i w:val="0"/>
          <w:iCs w:val="0"/>
          <w:caps w:val="0"/>
          <w:color w:val="333333"/>
          <w:spacing w:val="0"/>
          <w:sz w:val="32"/>
          <w:szCs w:val="32"/>
          <w:shd w:val="clear" w:color="auto" w:fill="FFFFFF"/>
          <w:lang w:eastAsia="zh-CN"/>
        </w:rPr>
        <w:t>年，我镇严格落实区委区政府关于信息公开标准化目录要求，不断扩大信息发布范围，切实保障广大群众的知情权。一年来，我镇在上党区政府门户网站下设乡镇文件、组织机构、工作动态、标准目录信息公开、依法行政、户籍政务公开、义务教育领域等栏目，本年度主动公开政府文件</w:t>
      </w:r>
      <w:r>
        <w:rPr>
          <w:rFonts w:hint="eastAsia" w:ascii="CESI仿宋-GB2312" w:hAnsi="CESI仿宋-GB2312" w:eastAsia="CESI仿宋-GB2312" w:cs="CESI仿宋-GB2312"/>
          <w:i w:val="0"/>
          <w:iCs w:val="0"/>
          <w:caps w:val="0"/>
          <w:color w:val="auto"/>
          <w:spacing w:val="0"/>
          <w:sz w:val="32"/>
          <w:szCs w:val="32"/>
          <w:shd w:val="clear" w:color="auto" w:fill="FFFFFF"/>
          <w:lang w:val="en-US" w:eastAsia="zh-CN"/>
        </w:rPr>
        <w:t>3</w:t>
      </w:r>
      <w:r>
        <w:rPr>
          <w:rFonts w:hint="eastAsia" w:ascii="CESI仿宋-GB2312" w:hAnsi="CESI仿宋-GB2312" w:eastAsia="CESI仿宋-GB2312" w:cs="CESI仿宋-GB2312"/>
          <w:i w:val="0"/>
          <w:iCs w:val="0"/>
          <w:caps w:val="0"/>
          <w:color w:val="333333"/>
          <w:spacing w:val="0"/>
          <w:sz w:val="32"/>
          <w:szCs w:val="32"/>
          <w:shd w:val="clear" w:color="auto" w:fill="FFFFFF"/>
          <w:lang w:eastAsia="zh-CN"/>
        </w:rPr>
        <w:t>条、政府组织机构信息3条，日常工作动态</w:t>
      </w:r>
      <w:r>
        <w:rPr>
          <w:rFonts w:hint="eastAsia" w:ascii="CESI仿宋-GB2312" w:hAnsi="CESI仿宋-GB2312" w:eastAsia="CESI仿宋-GB2312" w:cs="CESI仿宋-GB2312"/>
          <w:i w:val="0"/>
          <w:iCs w:val="0"/>
          <w:caps w:val="0"/>
          <w:color w:val="333333"/>
          <w:spacing w:val="0"/>
          <w:sz w:val="32"/>
          <w:szCs w:val="32"/>
          <w:shd w:val="clear" w:color="auto" w:fill="FFFFFF"/>
          <w:lang w:val="en-US" w:eastAsia="zh-CN"/>
        </w:rPr>
        <w:t>62</w:t>
      </w:r>
      <w:r>
        <w:rPr>
          <w:rFonts w:hint="eastAsia" w:ascii="CESI仿宋-GB2312" w:hAnsi="CESI仿宋-GB2312" w:eastAsia="CESI仿宋-GB2312" w:cs="CESI仿宋-GB2312"/>
          <w:i w:val="0"/>
          <w:iCs w:val="0"/>
          <w:caps w:val="0"/>
          <w:color w:val="333333"/>
          <w:spacing w:val="0"/>
          <w:sz w:val="32"/>
          <w:szCs w:val="32"/>
          <w:shd w:val="clear" w:color="auto" w:fill="FFFFFF"/>
          <w:lang w:eastAsia="zh-CN"/>
        </w:rPr>
        <w:t>条，标准化目录信息公开</w:t>
      </w:r>
      <w:r>
        <w:rPr>
          <w:rFonts w:hint="eastAsia" w:ascii="CESI仿宋-GB2312" w:hAnsi="CESI仿宋-GB2312" w:eastAsia="CESI仿宋-GB2312" w:cs="CESI仿宋-GB2312"/>
          <w:i w:val="0"/>
          <w:iCs w:val="0"/>
          <w:caps w:val="0"/>
          <w:color w:val="333333"/>
          <w:spacing w:val="0"/>
          <w:sz w:val="32"/>
          <w:szCs w:val="32"/>
          <w:shd w:val="clear" w:color="auto" w:fill="FFFFFF"/>
          <w:lang w:val="en-US" w:eastAsia="zh-CN"/>
        </w:rPr>
        <w:t>3</w:t>
      </w:r>
      <w:r>
        <w:rPr>
          <w:rFonts w:hint="eastAsia" w:ascii="CESI仿宋-GB2312" w:hAnsi="CESI仿宋-GB2312" w:eastAsia="CESI仿宋-GB2312" w:cs="CESI仿宋-GB2312"/>
          <w:i w:val="0"/>
          <w:iCs w:val="0"/>
          <w:caps w:val="0"/>
          <w:color w:val="333333"/>
          <w:spacing w:val="0"/>
          <w:sz w:val="32"/>
          <w:szCs w:val="32"/>
          <w:shd w:val="clear" w:color="auto" w:fill="FFFFFF"/>
          <w:lang w:eastAsia="zh-CN"/>
        </w:rPr>
        <w:t>条，依法行政</w:t>
      </w:r>
      <w:r>
        <w:rPr>
          <w:rFonts w:hint="eastAsia" w:ascii="CESI仿宋-GB2312" w:hAnsi="CESI仿宋-GB2312" w:eastAsia="CESI仿宋-GB2312" w:cs="CESI仿宋-GB2312"/>
          <w:i w:val="0"/>
          <w:iCs w:val="0"/>
          <w:caps w:val="0"/>
          <w:color w:val="333333"/>
          <w:spacing w:val="0"/>
          <w:sz w:val="32"/>
          <w:szCs w:val="32"/>
          <w:shd w:val="clear" w:color="auto" w:fill="FFFFFF"/>
          <w:lang w:val="en-US" w:eastAsia="zh-CN"/>
        </w:rPr>
        <w:t>6</w:t>
      </w:r>
      <w:r>
        <w:rPr>
          <w:rFonts w:hint="eastAsia" w:ascii="CESI仿宋-GB2312" w:hAnsi="CESI仿宋-GB2312" w:eastAsia="CESI仿宋-GB2312" w:cs="CESI仿宋-GB2312"/>
          <w:i w:val="0"/>
          <w:iCs w:val="0"/>
          <w:caps w:val="0"/>
          <w:color w:val="333333"/>
          <w:spacing w:val="0"/>
          <w:sz w:val="32"/>
          <w:szCs w:val="32"/>
          <w:shd w:val="clear" w:color="auto" w:fill="FFFFFF"/>
          <w:lang w:eastAsia="zh-CN"/>
        </w:rPr>
        <w:t>条、户籍政务公开</w:t>
      </w:r>
      <w:r>
        <w:rPr>
          <w:rFonts w:hint="eastAsia" w:ascii="CESI仿宋-GB2312" w:hAnsi="CESI仿宋-GB2312" w:eastAsia="CESI仿宋-GB2312" w:cs="CESI仿宋-GB2312"/>
          <w:i w:val="0"/>
          <w:iCs w:val="0"/>
          <w:caps w:val="0"/>
          <w:color w:val="333333"/>
          <w:spacing w:val="0"/>
          <w:sz w:val="32"/>
          <w:szCs w:val="32"/>
          <w:shd w:val="clear" w:color="auto" w:fill="FFFFFF"/>
          <w:lang w:val="en-US" w:eastAsia="zh-CN"/>
        </w:rPr>
        <w:t>1</w:t>
      </w:r>
      <w:r>
        <w:rPr>
          <w:rFonts w:hint="eastAsia" w:ascii="CESI仿宋-GB2312" w:hAnsi="CESI仿宋-GB2312" w:eastAsia="CESI仿宋-GB2312" w:cs="CESI仿宋-GB2312"/>
          <w:i w:val="0"/>
          <w:iCs w:val="0"/>
          <w:caps w:val="0"/>
          <w:color w:val="333333"/>
          <w:spacing w:val="0"/>
          <w:sz w:val="32"/>
          <w:szCs w:val="32"/>
          <w:shd w:val="clear" w:color="auto" w:fill="FFFFFF"/>
          <w:lang w:eastAsia="zh-CN"/>
        </w:rPr>
        <w:t>条、义务教育领域</w:t>
      </w:r>
      <w:r>
        <w:rPr>
          <w:rFonts w:hint="eastAsia" w:ascii="CESI仿宋-GB2312" w:hAnsi="CESI仿宋-GB2312" w:eastAsia="CESI仿宋-GB2312" w:cs="CESI仿宋-GB2312"/>
          <w:i w:val="0"/>
          <w:iCs w:val="0"/>
          <w:caps w:val="0"/>
          <w:color w:val="333333"/>
          <w:spacing w:val="0"/>
          <w:sz w:val="32"/>
          <w:szCs w:val="32"/>
          <w:shd w:val="clear" w:color="auto" w:fill="FFFFFF"/>
          <w:lang w:val="en-US" w:eastAsia="zh-CN"/>
        </w:rPr>
        <w:t>1</w:t>
      </w:r>
      <w:r>
        <w:rPr>
          <w:rFonts w:hint="eastAsia" w:ascii="CESI仿宋-GB2312" w:hAnsi="CESI仿宋-GB2312" w:eastAsia="CESI仿宋-GB2312" w:cs="CESI仿宋-GB2312"/>
          <w:i w:val="0"/>
          <w:iCs w:val="0"/>
          <w:caps w:val="0"/>
          <w:color w:val="333333"/>
          <w:spacing w:val="0"/>
          <w:sz w:val="32"/>
          <w:szCs w:val="32"/>
          <w:shd w:val="clear" w:color="auto" w:fill="FFFFFF"/>
          <w:lang w:eastAsia="zh-CN"/>
        </w:rPr>
        <w:t>条，共计</w:t>
      </w:r>
      <w:r>
        <w:rPr>
          <w:rFonts w:hint="eastAsia" w:ascii="CESI仿宋-GB2312" w:hAnsi="CESI仿宋-GB2312" w:eastAsia="CESI仿宋-GB2312" w:cs="CESI仿宋-GB2312"/>
          <w:i w:val="0"/>
          <w:iCs w:val="0"/>
          <w:caps w:val="0"/>
          <w:color w:val="333333"/>
          <w:spacing w:val="0"/>
          <w:sz w:val="32"/>
          <w:szCs w:val="32"/>
          <w:shd w:val="clear" w:color="auto" w:fill="FFFFFF"/>
          <w:lang w:val="en-US" w:eastAsia="zh-CN"/>
        </w:rPr>
        <w:t>79</w:t>
      </w:r>
      <w:r>
        <w:rPr>
          <w:rFonts w:hint="eastAsia" w:ascii="CESI仿宋-GB2312" w:hAnsi="CESI仿宋-GB2312" w:eastAsia="CESI仿宋-GB2312" w:cs="CESI仿宋-GB2312"/>
          <w:i w:val="0"/>
          <w:iCs w:val="0"/>
          <w:caps w:val="0"/>
          <w:color w:val="333333"/>
          <w:spacing w:val="0"/>
          <w:sz w:val="32"/>
          <w:szCs w:val="32"/>
          <w:shd w:val="clear" w:color="auto" w:fill="FFFFFF"/>
          <w:lang w:eastAsia="zh-CN"/>
        </w:rPr>
        <w:t>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CESI楷体-GB2312" w:hAnsi="CESI楷体-GB2312" w:eastAsia="CESI楷体-GB2312" w:cs="CESI楷体-GB2312"/>
          <w:b w:val="0"/>
          <w:bCs w:val="0"/>
          <w:i w:val="0"/>
          <w:iCs w:val="0"/>
          <w:caps w:val="0"/>
          <w:color w:val="000000"/>
          <w:spacing w:val="0"/>
          <w:sz w:val="32"/>
          <w:szCs w:val="32"/>
          <w:shd w:val="clear" w:fill="FFFFFF"/>
        </w:rPr>
      </w:pPr>
      <w:r>
        <w:rPr>
          <w:rFonts w:hint="eastAsia" w:ascii="CESI楷体-GB2312" w:hAnsi="CESI楷体-GB2312" w:eastAsia="CESI楷体-GB2312" w:cs="CESI楷体-GB2312"/>
          <w:b w:val="0"/>
          <w:bCs w:val="0"/>
          <w:i w:val="0"/>
          <w:iCs w:val="0"/>
          <w:caps w:val="0"/>
          <w:color w:val="000000"/>
          <w:spacing w:val="0"/>
          <w:sz w:val="32"/>
          <w:szCs w:val="32"/>
          <w:shd w:val="clear" w:fill="FFFFFF"/>
        </w:rPr>
        <w:t>（二）依申请公开情况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CESI仿宋-GB2312" w:hAnsi="CESI仿宋-GB2312" w:eastAsia="CESI仿宋-GB2312" w:cs="CESI仿宋-GB2312"/>
          <w:i w:val="0"/>
          <w:iCs w:val="0"/>
          <w:caps w:val="0"/>
          <w:color w:val="333333"/>
          <w:spacing w:val="0"/>
          <w:sz w:val="32"/>
          <w:szCs w:val="32"/>
          <w:shd w:val="clear" w:color="auto" w:fill="FFFFFF"/>
          <w:lang w:val="en-US" w:eastAsia="zh-CN"/>
        </w:rPr>
      </w:pPr>
      <w:r>
        <w:rPr>
          <w:rFonts w:hint="eastAsia" w:ascii="CESI仿宋-GB2312" w:hAnsi="CESI仿宋-GB2312" w:eastAsia="CESI仿宋-GB2312" w:cs="CESI仿宋-GB2312"/>
          <w:i w:val="0"/>
          <w:iCs w:val="0"/>
          <w:caps w:val="0"/>
          <w:color w:val="333333"/>
          <w:spacing w:val="0"/>
          <w:sz w:val="32"/>
          <w:szCs w:val="32"/>
          <w:shd w:val="clear" w:fill="FFFFFF"/>
          <w:lang w:val="en-US" w:eastAsia="zh-CN"/>
        </w:rPr>
        <w:t>2024年我单位未接收到任何依申请公开的申请。</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CESI楷体-GB2312" w:hAnsi="CESI楷体-GB2312" w:eastAsia="CESI楷体-GB2312" w:cs="CESI楷体-GB2312"/>
          <w:b w:val="0"/>
          <w:bCs w:val="0"/>
          <w:i w:val="0"/>
          <w:iCs w:val="0"/>
          <w:caps w:val="0"/>
          <w:color w:val="000000"/>
          <w:spacing w:val="0"/>
          <w:sz w:val="32"/>
          <w:szCs w:val="32"/>
          <w:shd w:val="clear" w:fill="FFFFFF"/>
        </w:rPr>
      </w:pPr>
      <w:r>
        <w:rPr>
          <w:rFonts w:hint="eastAsia" w:ascii="CESI楷体-GB2312" w:hAnsi="CESI楷体-GB2312" w:eastAsia="CESI楷体-GB2312" w:cs="CESI楷体-GB2312"/>
          <w:b w:val="0"/>
          <w:bCs w:val="0"/>
          <w:i w:val="0"/>
          <w:iCs w:val="0"/>
          <w:caps w:val="0"/>
          <w:color w:val="000000"/>
          <w:spacing w:val="0"/>
          <w:sz w:val="32"/>
          <w:szCs w:val="32"/>
          <w:shd w:val="clear" w:fill="FFFFFF"/>
        </w:rPr>
        <w:t>政府信息管理情况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i w:val="0"/>
          <w:iCs w:val="0"/>
          <w:caps w:val="0"/>
          <w:color w:val="333333"/>
          <w:spacing w:val="0"/>
          <w:sz w:val="32"/>
          <w:szCs w:val="32"/>
          <w:shd w:val="clear" w:color="auto" w:fill="FFFFFF"/>
          <w:lang w:val="en-US" w:eastAsia="zh-CN"/>
        </w:rPr>
      </w:pPr>
      <w:r>
        <w:rPr>
          <w:rFonts w:hint="eastAsia" w:ascii="CESI仿宋-GB2312" w:hAnsi="CESI仿宋-GB2312" w:eastAsia="CESI仿宋-GB2312" w:cs="CESI仿宋-GB2312"/>
          <w:i w:val="0"/>
          <w:iCs w:val="0"/>
          <w:caps w:val="0"/>
          <w:color w:val="333333"/>
          <w:spacing w:val="0"/>
          <w:sz w:val="32"/>
          <w:szCs w:val="32"/>
          <w:shd w:val="clear" w:color="auto" w:fill="FFFFFF"/>
          <w:lang w:eastAsia="zh-CN"/>
        </w:rPr>
        <w:t>202</w:t>
      </w:r>
      <w:r>
        <w:rPr>
          <w:rFonts w:hint="eastAsia" w:ascii="CESI仿宋-GB2312" w:hAnsi="CESI仿宋-GB2312" w:eastAsia="CESI仿宋-GB2312" w:cs="CESI仿宋-GB2312"/>
          <w:i w:val="0"/>
          <w:iCs w:val="0"/>
          <w:caps w:val="0"/>
          <w:color w:val="333333"/>
          <w:spacing w:val="0"/>
          <w:sz w:val="32"/>
          <w:szCs w:val="32"/>
          <w:shd w:val="clear" w:color="auto" w:fill="FFFFFF"/>
          <w:lang w:val="en-US" w:eastAsia="zh-CN"/>
        </w:rPr>
        <w:t>4</w:t>
      </w:r>
      <w:r>
        <w:rPr>
          <w:rFonts w:hint="eastAsia" w:ascii="CESI仿宋-GB2312" w:hAnsi="CESI仿宋-GB2312" w:eastAsia="CESI仿宋-GB2312" w:cs="CESI仿宋-GB2312"/>
          <w:i w:val="0"/>
          <w:iCs w:val="0"/>
          <w:caps w:val="0"/>
          <w:color w:val="333333"/>
          <w:spacing w:val="0"/>
          <w:sz w:val="32"/>
          <w:szCs w:val="32"/>
          <w:shd w:val="clear" w:color="auto" w:fill="FFFFFF"/>
          <w:lang w:eastAsia="zh-CN"/>
        </w:rPr>
        <w:t>年，我镇将政务公开纳入重要议事日程，成立政务公开领导小组，</w:t>
      </w:r>
      <w:r>
        <w:rPr>
          <w:rFonts w:hint="eastAsia" w:ascii="CESI仿宋-GB2312" w:hAnsi="CESI仿宋-GB2312" w:eastAsia="CESI仿宋-GB2312" w:cs="CESI仿宋-GB2312"/>
          <w:spacing w:val="0"/>
          <w:sz w:val="32"/>
          <w:szCs w:val="32"/>
        </w:rPr>
        <w:t>按照上级工作要求，安排专人负责政务信息收集、编辑、发布，努力提升政务公开专业化水平。全面推进政务公开工作，对照《政府信息管理条例》的主动公开范围进行梳理，在职责范围内应当主动公开的政府信息，进行分类整理并及时公开。严格执行信息公开制度并做好信息公开及报送工作，保证政府信息与政务公开准确、及时、规范。分管领导采取日常信息审核与不定时抽查网页信息公开质量相结合的方式，确保信息公开工作有序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CESI楷体-GB2312" w:hAnsi="CESI楷体-GB2312" w:eastAsia="CESI楷体-GB2312" w:cs="CESI楷体-GB2312"/>
          <w:b w:val="0"/>
          <w:bCs w:val="0"/>
          <w:i w:val="0"/>
          <w:iCs w:val="0"/>
          <w:caps w:val="0"/>
          <w:color w:val="000000"/>
          <w:spacing w:val="0"/>
          <w:sz w:val="32"/>
          <w:szCs w:val="32"/>
          <w:shd w:val="clear" w:fill="FFFFFF"/>
          <w:lang w:eastAsia="zh-CN"/>
        </w:rPr>
      </w:pPr>
      <w:r>
        <w:rPr>
          <w:rFonts w:hint="eastAsia" w:ascii="CESI楷体-GB2312" w:hAnsi="CESI楷体-GB2312" w:eastAsia="CESI楷体-GB2312" w:cs="CESI楷体-GB2312"/>
          <w:b w:val="0"/>
          <w:bCs w:val="0"/>
          <w:i w:val="0"/>
          <w:iCs w:val="0"/>
          <w:caps w:val="0"/>
          <w:color w:val="000000"/>
          <w:spacing w:val="0"/>
          <w:sz w:val="32"/>
          <w:szCs w:val="32"/>
          <w:shd w:val="clear" w:fill="FFFFFF"/>
          <w:lang w:eastAsia="zh-CN"/>
        </w:rPr>
        <w:t>（四）政府信息公开平台建设情况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CESI仿宋-GB2312" w:hAnsi="CESI仿宋-GB2312" w:eastAsia="CESI仿宋-GB2312" w:cs="CESI仿宋-GB2312"/>
          <w:i w:val="0"/>
          <w:iCs w:val="0"/>
          <w:caps w:val="0"/>
          <w:color w:val="333333"/>
          <w:spacing w:val="0"/>
          <w:sz w:val="32"/>
          <w:szCs w:val="32"/>
          <w:shd w:val="clear" w:color="auto" w:fill="FFFFFF"/>
          <w:lang w:val="en-US" w:eastAsia="zh-CN"/>
        </w:rPr>
      </w:pPr>
      <w:r>
        <w:rPr>
          <w:rFonts w:hint="eastAsia" w:ascii="CESI仿宋-GB2312" w:hAnsi="CESI仿宋-GB2312" w:eastAsia="CESI仿宋-GB2312" w:cs="CESI仿宋-GB2312"/>
          <w:i w:val="0"/>
          <w:iCs w:val="0"/>
          <w:caps w:val="0"/>
          <w:color w:val="333333"/>
          <w:spacing w:val="0"/>
          <w:sz w:val="32"/>
          <w:szCs w:val="32"/>
          <w:shd w:val="clear" w:fill="FFFFFF"/>
          <w:lang w:val="en-US" w:eastAsia="zh-CN"/>
        </w:rPr>
        <w:t>根据上级要求，我镇对拟公开的政府信息，按照主动公开、依申请公开、不予公开的政府信息分类要求，坚持以主动公开为原则，不公开为例外，积极利用上党区人民政府门户网站、微信网格群等信息公开载体平台，广泛宣传工作动态，使广大社会群体能够及时了解苏店镇动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CESI楷体-GB2312" w:hAnsi="CESI楷体-GB2312" w:eastAsia="CESI楷体-GB2312" w:cs="CESI楷体-GB2312"/>
          <w:b w:val="0"/>
          <w:bCs w:val="0"/>
          <w:i w:val="0"/>
          <w:iCs w:val="0"/>
          <w:caps w:val="0"/>
          <w:color w:val="000000"/>
          <w:spacing w:val="0"/>
          <w:sz w:val="32"/>
          <w:szCs w:val="32"/>
          <w:shd w:val="clear" w:fill="FFFFFF"/>
          <w:lang w:eastAsia="zh-CN"/>
        </w:rPr>
      </w:pPr>
      <w:r>
        <w:rPr>
          <w:rFonts w:hint="eastAsia" w:ascii="CESI楷体-GB2312" w:hAnsi="CESI楷体-GB2312" w:eastAsia="CESI楷体-GB2312" w:cs="CESI楷体-GB2312"/>
          <w:b w:val="0"/>
          <w:bCs w:val="0"/>
          <w:i w:val="0"/>
          <w:iCs w:val="0"/>
          <w:caps w:val="0"/>
          <w:color w:val="000000"/>
          <w:spacing w:val="0"/>
          <w:sz w:val="32"/>
          <w:szCs w:val="32"/>
          <w:shd w:val="clear" w:fill="FFFFFF"/>
          <w:lang w:eastAsia="zh-CN"/>
        </w:rPr>
        <w:t>（五）监督保障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600" w:lineRule="exact"/>
        <w:ind w:left="0" w:right="0" w:firstLine="640" w:firstLineChars="200"/>
        <w:jc w:val="both"/>
        <w:textAlignment w:val="auto"/>
        <w:rPr>
          <w:rFonts w:hint="eastAsia" w:ascii="宋体" w:hAnsi="宋体" w:cs="宋体"/>
          <w:i w:val="0"/>
          <w:iCs w:val="0"/>
          <w:caps w:val="0"/>
          <w:color w:val="333333"/>
          <w:spacing w:val="0"/>
          <w:sz w:val="24"/>
          <w:szCs w:val="24"/>
          <w:shd w:val="clear" w:color="auto" w:fill="FFFFFF"/>
          <w:lang w:val="en-US" w:eastAsia="zh-CN"/>
        </w:rPr>
      </w:pPr>
      <w:r>
        <w:rPr>
          <w:rFonts w:hint="eastAsia" w:ascii="CESI仿宋-GB2312" w:hAnsi="CESI仿宋-GB2312" w:eastAsia="CESI仿宋-GB2312" w:cs="CESI仿宋-GB2312"/>
          <w:i w:val="0"/>
          <w:iCs w:val="0"/>
          <w:caps w:val="0"/>
          <w:color w:val="333333"/>
          <w:spacing w:val="0"/>
          <w:sz w:val="32"/>
          <w:szCs w:val="32"/>
          <w:shd w:val="clear" w:color="auto" w:fill="FFFFFF"/>
          <w:lang w:val="en-US" w:eastAsia="zh-CN"/>
        </w:rPr>
        <w:t>我镇</w:t>
      </w:r>
      <w:r>
        <w:rPr>
          <w:rFonts w:hint="eastAsia" w:ascii="CESI仿宋-GB2312" w:hAnsi="CESI仿宋-GB2312" w:eastAsia="CESI仿宋-GB2312" w:cs="CESI仿宋-GB2312"/>
          <w:i w:val="0"/>
          <w:iCs w:val="0"/>
          <w:caps w:val="0"/>
          <w:color w:val="333333"/>
          <w:spacing w:val="0"/>
          <w:sz w:val="32"/>
          <w:szCs w:val="32"/>
          <w:shd w:val="clear" w:fill="FFFFFF"/>
          <w:lang w:val="en-US" w:eastAsia="zh-CN"/>
        </w:rPr>
        <w:t>在推进政府信息公开工作的过程中，严格依法管理，加强督促检查, 强化监督，使政务信息公开工作制度化和规范化。</w:t>
      </w:r>
      <w:r>
        <w:rPr>
          <w:rFonts w:hint="eastAsia" w:ascii="CESI仿宋-GB2312" w:hAnsi="CESI仿宋-GB2312" w:eastAsia="CESI仿宋-GB2312" w:cs="CESI仿宋-GB2312"/>
          <w:i w:val="0"/>
          <w:iCs w:val="0"/>
          <w:caps w:val="0"/>
          <w:color w:val="333333"/>
          <w:spacing w:val="0"/>
          <w:sz w:val="32"/>
          <w:szCs w:val="32"/>
          <w:shd w:val="clear" w:color="auto" w:fill="FFFFFF"/>
          <w:lang w:val="en-US" w:eastAsia="zh-CN"/>
        </w:rPr>
        <w:t>明确工作责任，确定专职工作人员，及时将工作动态、群众办事指南、项目建设等最新信息及其他符合公开原则的信息及时公开，</w:t>
      </w:r>
      <w:r>
        <w:rPr>
          <w:rFonts w:hint="eastAsia" w:ascii="CESI仿宋-GB2312" w:hAnsi="CESI仿宋-GB2312" w:eastAsia="CESI仿宋-GB2312" w:cs="CESI仿宋-GB2312"/>
          <w:i w:val="0"/>
          <w:iCs w:val="0"/>
          <w:caps w:val="0"/>
          <w:color w:val="333333"/>
          <w:spacing w:val="0"/>
          <w:sz w:val="32"/>
          <w:szCs w:val="32"/>
          <w:shd w:val="clear" w:fill="FFFFFF"/>
          <w:lang w:val="en-US" w:eastAsia="zh-CN"/>
        </w:rPr>
        <w:t>积极贯彻实施信息督查检查制度,严格把握公开程序，</w:t>
      </w:r>
      <w:r>
        <w:rPr>
          <w:rFonts w:hint="eastAsia" w:ascii="CESI仿宋-GB2312" w:hAnsi="CESI仿宋-GB2312" w:eastAsia="CESI仿宋-GB2312" w:cs="CESI仿宋-GB2312"/>
          <w:i w:val="0"/>
          <w:iCs w:val="0"/>
          <w:caps w:val="0"/>
          <w:color w:val="333333"/>
          <w:spacing w:val="0"/>
          <w:sz w:val="32"/>
          <w:szCs w:val="32"/>
          <w:shd w:val="clear" w:color="auto" w:fill="FFFFFF"/>
          <w:lang w:val="en-US" w:eastAsia="zh-CN"/>
        </w:rPr>
        <w:t>定期开展监督检查，发现问题及时整改。妥善处理好政务公开与保守国家秘密之间的关系，及时回应社会关切，接受群众监督，</w:t>
      </w:r>
      <w:r>
        <w:rPr>
          <w:rFonts w:hint="eastAsia" w:ascii="CESI仿宋-GB2312" w:hAnsi="CESI仿宋-GB2312" w:eastAsia="CESI仿宋-GB2312" w:cs="CESI仿宋-GB2312"/>
          <w:i w:val="0"/>
          <w:iCs w:val="0"/>
          <w:caps w:val="0"/>
          <w:color w:val="333333"/>
          <w:spacing w:val="0"/>
          <w:sz w:val="32"/>
          <w:szCs w:val="32"/>
          <w:shd w:val="clear" w:fill="FFFFFF"/>
          <w:lang w:val="en-US" w:eastAsia="zh-CN"/>
        </w:rPr>
        <w:t>切实做好政府信息公开工作。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600" w:lineRule="exact"/>
        <w:ind w:left="0" w:right="0" w:firstLine="641" w:firstLineChars="200"/>
        <w:jc w:val="both"/>
        <w:textAlignment w:val="auto"/>
        <w:rPr>
          <w:rFonts w:hint="eastAsia" w:ascii="国标黑体" w:hAnsi="国标黑体" w:eastAsia="国标黑体" w:cs="国标黑体"/>
          <w:b w:val="0"/>
          <w:i w:val="0"/>
          <w:caps w:val="0"/>
          <w:color w:val="000000"/>
          <w:spacing w:val="0"/>
          <w:sz w:val="32"/>
          <w:szCs w:val="32"/>
        </w:rPr>
      </w:pPr>
      <w:r>
        <w:rPr>
          <w:rFonts w:hint="eastAsia" w:ascii="国标黑体" w:hAnsi="国标黑体" w:eastAsia="国标黑体" w:cs="国标黑体"/>
          <w:b/>
          <w:i w:val="0"/>
          <w:caps w:val="0"/>
          <w:color w:val="000000"/>
          <w:spacing w:val="0"/>
          <w:sz w:val="32"/>
          <w:szCs w:val="32"/>
        </w:rPr>
        <w:t>二、主动公开政府信息情况</w:t>
      </w:r>
    </w:p>
    <w:tbl>
      <w:tblPr>
        <w:tblStyle w:val="3"/>
        <w:tblW w:w="8140" w:type="dxa"/>
        <w:jc w:val="center"/>
        <w:tblLayout w:type="fixed"/>
        <w:tblCellMar>
          <w:top w:w="15" w:type="dxa"/>
          <w:left w:w="15" w:type="dxa"/>
          <w:bottom w:w="15" w:type="dxa"/>
          <w:right w:w="15" w:type="dxa"/>
        </w:tblCellMar>
      </w:tblPr>
      <w:tblGrid>
        <w:gridCol w:w="3113"/>
        <w:gridCol w:w="1738"/>
        <w:gridCol w:w="1613"/>
        <w:gridCol w:w="1676"/>
      </w:tblGrid>
      <w:tr>
        <w:tblPrEx>
          <w:tblCellMar>
            <w:top w:w="15" w:type="dxa"/>
            <w:left w:w="15" w:type="dxa"/>
            <w:bottom w:w="15" w:type="dxa"/>
            <w:right w:w="15"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第二十条第（一）项</w:t>
            </w:r>
          </w:p>
        </w:tc>
      </w:tr>
      <w:tr>
        <w:tblPrEx>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1738"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i w:val="0"/>
                <w:iCs w:val="0"/>
                <w:caps w:val="0"/>
                <w:color w:val="000000"/>
                <w:spacing w:val="0"/>
                <w:sz w:val="20"/>
                <w:szCs w:val="20"/>
                <w:shd w:val="clear" w:color="auto" w:fill="FFFFFF"/>
              </w:rPr>
              <w:t>本年</w:t>
            </w:r>
            <w:r>
              <w:rPr>
                <w:rFonts w:hint="eastAsia" w:ascii="宋体" w:hAnsi="宋体" w:eastAsia="宋体" w:cs="宋体"/>
                <w:i w:val="0"/>
                <w:iCs w:val="0"/>
                <w:caps w:val="0"/>
                <w:color w:val="333333"/>
                <w:spacing w:val="0"/>
                <w:sz w:val="20"/>
                <w:szCs w:val="20"/>
                <w:shd w:val="clear" w:color="auto" w:fill="FFFFFF"/>
              </w:rPr>
              <w:t>制发件数</w:t>
            </w:r>
          </w:p>
        </w:tc>
        <w:tc>
          <w:tcPr>
            <w:tcW w:w="1613"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i w:val="0"/>
                <w:iCs w:val="0"/>
                <w:caps w:val="0"/>
                <w:color w:val="000000"/>
                <w:spacing w:val="0"/>
                <w:sz w:val="20"/>
                <w:szCs w:val="20"/>
                <w:shd w:val="clear" w:color="auto" w:fill="FFFFFF"/>
              </w:rPr>
              <w:t>本年废止</w:t>
            </w:r>
            <w:r>
              <w:rPr>
                <w:rFonts w:hint="eastAsia" w:ascii="宋体" w:hAnsi="宋体" w:cs="宋体"/>
                <w:i w:val="0"/>
                <w:iCs w:val="0"/>
                <w:caps w:val="0"/>
                <w:color w:val="000000"/>
                <w:spacing w:val="0"/>
                <w:sz w:val="20"/>
                <w:szCs w:val="20"/>
                <w:shd w:val="clear" w:color="auto" w:fill="FFFFFF"/>
                <w:lang w:eastAsia="zh-CN"/>
              </w:rPr>
              <w:t>件</w:t>
            </w:r>
            <w:r>
              <w:rPr>
                <w:rFonts w:hint="eastAsia" w:ascii="宋体" w:hAnsi="宋体" w:eastAsia="宋体" w:cs="宋体"/>
                <w:i w:val="0"/>
                <w:iCs w:val="0"/>
                <w:caps w:val="0"/>
                <w:color w:val="000000"/>
                <w:spacing w:val="0"/>
                <w:sz w:val="20"/>
                <w:szCs w:val="20"/>
                <w:shd w:val="clear" w:color="auto" w:fill="FFFFFF"/>
              </w:rPr>
              <w:t>数</w:t>
            </w:r>
          </w:p>
        </w:tc>
        <w:tc>
          <w:tcPr>
            <w:tcW w:w="1676"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i w:val="0"/>
                <w:iCs w:val="0"/>
                <w:caps w:val="0"/>
                <w:color w:val="000000"/>
                <w:spacing w:val="0"/>
                <w:sz w:val="20"/>
                <w:szCs w:val="20"/>
                <w:shd w:val="clear" w:color="auto" w:fill="FFFFFF"/>
              </w:rPr>
              <w:t>现行有效件</w:t>
            </w:r>
            <w:r>
              <w:rPr>
                <w:rFonts w:hint="eastAsia" w:ascii="宋体" w:hAnsi="宋体" w:eastAsia="宋体" w:cs="宋体"/>
                <w:i w:val="0"/>
                <w:iCs w:val="0"/>
                <w:caps w:val="0"/>
                <w:color w:val="333333"/>
                <w:spacing w:val="0"/>
                <w:sz w:val="20"/>
                <w:szCs w:val="20"/>
                <w:shd w:val="clear" w:color="auto" w:fill="FFFFFF"/>
              </w:rPr>
              <w:t>数</w:t>
            </w:r>
          </w:p>
        </w:tc>
      </w:tr>
      <w:tr>
        <w:tblPrEx>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规章</w:t>
            </w:r>
          </w:p>
        </w:tc>
        <w:tc>
          <w:tcPr>
            <w:tcW w:w="1738"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cs="宋体"/>
                <w:color w:val="000000"/>
                <w:kern w:val="0"/>
                <w:sz w:val="20"/>
                <w:szCs w:val="20"/>
                <w:lang w:val="en-US" w:eastAsia="zh-CN" w:bidi="ar"/>
              </w:rPr>
              <w:t>0</w:t>
            </w:r>
          </w:p>
        </w:tc>
        <w:tc>
          <w:tcPr>
            <w:tcW w:w="16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cs="宋体"/>
                <w:color w:val="000000"/>
                <w:kern w:val="0"/>
                <w:sz w:val="20"/>
                <w:szCs w:val="20"/>
                <w:lang w:val="en-US" w:eastAsia="zh-CN" w:bidi="ar"/>
              </w:rPr>
              <w:t>0</w:t>
            </w:r>
          </w:p>
        </w:tc>
        <w:tc>
          <w:tcPr>
            <w:tcW w:w="1676"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cs="宋体"/>
                <w:color w:val="000000"/>
                <w:kern w:val="0"/>
                <w:sz w:val="20"/>
                <w:szCs w:val="20"/>
                <w:lang w:val="en-US" w:eastAsia="zh-CN" w:bidi="ar"/>
              </w:rPr>
              <w:t>0</w:t>
            </w:r>
          </w:p>
        </w:tc>
      </w:tr>
      <w:tr>
        <w:tblPrEx>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cs="宋体"/>
                <w:color w:val="000000"/>
                <w:kern w:val="0"/>
                <w:sz w:val="20"/>
                <w:szCs w:val="20"/>
                <w:lang w:val="en-US" w:eastAsia="zh-CN" w:bidi="ar"/>
              </w:rPr>
              <w:t>行政</w:t>
            </w:r>
            <w:r>
              <w:rPr>
                <w:rFonts w:hint="eastAsia" w:ascii="宋体" w:hAnsi="宋体" w:eastAsia="宋体" w:cs="宋体"/>
                <w:color w:val="000000"/>
                <w:kern w:val="0"/>
                <w:sz w:val="20"/>
                <w:szCs w:val="20"/>
                <w:lang w:val="en-US" w:eastAsia="zh-CN" w:bidi="ar"/>
              </w:rPr>
              <w:t>规范性文件</w:t>
            </w:r>
          </w:p>
        </w:tc>
        <w:tc>
          <w:tcPr>
            <w:tcW w:w="1738"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cs="宋体"/>
                <w:color w:val="000000"/>
                <w:kern w:val="0"/>
                <w:sz w:val="20"/>
                <w:szCs w:val="20"/>
                <w:lang w:val="en-US" w:eastAsia="zh-CN" w:bidi="ar"/>
              </w:rPr>
              <w:t>0</w:t>
            </w:r>
          </w:p>
        </w:tc>
        <w:tc>
          <w:tcPr>
            <w:tcW w:w="1613"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cs="宋体"/>
                <w:color w:val="000000"/>
                <w:kern w:val="0"/>
                <w:sz w:val="20"/>
                <w:szCs w:val="20"/>
                <w:lang w:val="en-US" w:eastAsia="zh-CN" w:bidi="ar"/>
              </w:rPr>
              <w:t>0</w:t>
            </w:r>
          </w:p>
        </w:tc>
        <w:tc>
          <w:tcPr>
            <w:tcW w:w="1676"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cs="宋体"/>
                <w:color w:val="000000"/>
                <w:kern w:val="0"/>
                <w:sz w:val="20"/>
                <w:szCs w:val="20"/>
                <w:lang w:val="en-US" w:eastAsia="zh-CN" w:bidi="ar"/>
              </w:rPr>
              <w:t>0</w:t>
            </w:r>
          </w:p>
        </w:tc>
      </w:tr>
      <w:tr>
        <w:tblPrEx>
          <w:tblCellMar>
            <w:top w:w="15" w:type="dxa"/>
            <w:left w:w="15" w:type="dxa"/>
            <w:bottom w:w="15" w:type="dxa"/>
            <w:right w:w="15"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第二十条第（五）项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处理决定数量</w:t>
            </w:r>
          </w:p>
        </w:tc>
      </w:tr>
      <w:tr>
        <w:tblPrEx>
          <w:tblCellMar>
            <w:top w:w="15" w:type="dxa"/>
            <w:left w:w="15" w:type="dxa"/>
            <w:bottom w:w="15" w:type="dxa"/>
            <w:right w:w="15" w:type="dxa"/>
          </w:tblCellMar>
        </w:tblPrEx>
        <w:trPr>
          <w:trHeight w:val="307" w:hRule="atLeast"/>
          <w:jc w:val="center"/>
        </w:trPr>
        <w:tc>
          <w:tcPr>
            <w:tcW w:w="3113" w:type="dxa"/>
            <w:tcBorders>
              <w:top w:val="nil"/>
              <w:left w:val="single" w:color="auto" w:sz="8" w:space="0"/>
              <w:bottom w:val="single" w:color="auto" w:sz="4"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color w:val="000000"/>
              </w:rPr>
            </w:pPr>
            <w:r>
              <w:rPr>
                <w:rFonts w:hint="eastAsia" w:ascii="宋体" w:hAnsi="宋体" w:cs="宋体"/>
                <w:color w:val="000000"/>
                <w:kern w:val="0"/>
                <w:sz w:val="20"/>
                <w:szCs w:val="20"/>
                <w:lang w:val="en-US" w:eastAsia="zh-CN" w:bidi="ar"/>
              </w:rPr>
              <w:t>行</w:t>
            </w:r>
            <w:r>
              <w:rPr>
                <w:rFonts w:hint="eastAsia" w:ascii="宋体" w:hAnsi="宋体" w:eastAsia="宋体" w:cs="宋体"/>
                <w:color w:val="000000"/>
                <w:kern w:val="0"/>
                <w:sz w:val="20"/>
                <w:szCs w:val="20"/>
                <w:lang w:val="en-US" w:eastAsia="zh-CN" w:bidi="ar"/>
              </w:rPr>
              <w:t>政许可</w:t>
            </w:r>
          </w:p>
        </w:tc>
        <w:tc>
          <w:tcPr>
            <w:tcW w:w="5027" w:type="dxa"/>
            <w:gridSpan w:val="3"/>
            <w:tcBorders>
              <w:top w:val="nil"/>
              <w:left w:val="nil"/>
              <w:bottom w:val="single" w:color="auto" w:sz="4"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CellMar>
            <w:top w:w="15" w:type="dxa"/>
            <w:left w:w="15" w:type="dxa"/>
            <w:bottom w:w="15" w:type="dxa"/>
            <w:right w:w="15" w:type="dxa"/>
          </w:tblCellMar>
        </w:tblPrEx>
        <w:trPr>
          <w:trHeight w:val="406" w:hRule="atLeast"/>
          <w:jc w:val="center"/>
        </w:trPr>
        <w:tc>
          <w:tcPr>
            <w:tcW w:w="8140" w:type="dxa"/>
            <w:gridSpan w:val="4"/>
            <w:tcBorders>
              <w:top w:val="single" w:color="auto" w:sz="4"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第二十条第（六）项</w:t>
            </w:r>
          </w:p>
        </w:tc>
      </w:tr>
      <w:tr>
        <w:tblPrEx>
          <w:tblCellMar>
            <w:top w:w="15" w:type="dxa"/>
            <w:left w:w="15" w:type="dxa"/>
            <w:bottom w:w="15" w:type="dxa"/>
            <w:right w:w="15" w:type="dxa"/>
          </w:tblCellMar>
        </w:tblPrEx>
        <w:trPr>
          <w:trHeight w:val="572"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处理决定数量</w:t>
            </w:r>
          </w:p>
        </w:tc>
      </w:tr>
      <w:tr>
        <w:tblPrEx>
          <w:tblCellMar>
            <w:top w:w="15" w:type="dxa"/>
            <w:left w:w="15" w:type="dxa"/>
            <w:bottom w:w="15" w:type="dxa"/>
            <w:right w:w="15" w:type="dxa"/>
          </w:tblCellMar>
        </w:tblPrEx>
        <w:trPr>
          <w:trHeight w:val="386"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color w:val="000000"/>
              </w:rPr>
            </w:pPr>
            <w:r>
              <w:rPr>
                <w:rFonts w:hint="eastAsia" w:ascii="宋体" w:hAnsi="宋体" w:eastAsia="宋体" w:cs="宋体"/>
                <w:color w:val="000000"/>
                <w:kern w:val="0"/>
                <w:sz w:val="20"/>
                <w:szCs w:val="20"/>
                <w:lang w:val="en-US" w:eastAsia="zh-CN" w:bidi="ar"/>
              </w:rPr>
              <w:t>行政处罚</w:t>
            </w:r>
          </w:p>
        </w:tc>
        <w:tc>
          <w:tcPr>
            <w:tcW w:w="5027" w:type="dxa"/>
            <w:gridSpan w:val="3"/>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cs="宋体"/>
                <w:color w:val="000000"/>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　</w:t>
            </w:r>
          </w:p>
        </w:tc>
      </w:tr>
      <w:tr>
        <w:tblPrEx>
          <w:tblCellMar>
            <w:top w:w="15" w:type="dxa"/>
            <w:left w:w="15" w:type="dxa"/>
            <w:bottom w:w="15" w:type="dxa"/>
            <w:right w:w="15" w:type="dxa"/>
          </w:tblCellMar>
        </w:tblPrEx>
        <w:trPr>
          <w:trHeight w:val="111"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color w:val="000000"/>
              </w:rPr>
            </w:pPr>
            <w:r>
              <w:rPr>
                <w:rFonts w:hint="eastAsia" w:ascii="宋体" w:hAnsi="宋体" w:eastAsia="宋体" w:cs="宋体"/>
                <w:color w:val="000000"/>
                <w:kern w:val="0"/>
                <w:sz w:val="20"/>
                <w:szCs w:val="20"/>
                <w:lang w:val="en-US" w:eastAsia="zh-CN" w:bidi="ar"/>
              </w:rPr>
              <w:t>行政强制</w:t>
            </w:r>
          </w:p>
        </w:tc>
        <w:tc>
          <w:tcPr>
            <w:tcW w:w="5027" w:type="dxa"/>
            <w:gridSpan w:val="3"/>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cs="宋体"/>
                <w:color w:val="000000"/>
                <w:kern w:val="0"/>
                <w:sz w:val="20"/>
                <w:szCs w:val="20"/>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　</w:t>
            </w:r>
          </w:p>
        </w:tc>
      </w:tr>
      <w:tr>
        <w:tblPrEx>
          <w:tblCellMar>
            <w:top w:w="15" w:type="dxa"/>
            <w:left w:w="15" w:type="dxa"/>
            <w:bottom w:w="15" w:type="dxa"/>
            <w:right w:w="15"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第二十条第（八）项</w:t>
            </w:r>
          </w:p>
        </w:tc>
      </w:tr>
      <w:tr>
        <w:tblPrEx>
          <w:tblCellMar>
            <w:top w:w="15" w:type="dxa"/>
            <w:left w:w="15" w:type="dxa"/>
            <w:bottom w:w="15" w:type="dxa"/>
            <w:right w:w="15" w:type="dxa"/>
          </w:tblCellMar>
        </w:tblPrEx>
        <w:trPr>
          <w:trHeight w:val="549"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5027" w:type="dxa"/>
            <w:gridSpan w:val="3"/>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lang w:eastAsia="zh-CN"/>
              </w:rPr>
            </w:pPr>
            <w:r>
              <w:rPr>
                <w:rFonts w:hint="eastAsia"/>
                <w:color w:val="000000"/>
                <w:lang w:eastAsia="zh-CN"/>
              </w:rPr>
              <w:t>本年收费金额（单位：万元）</w:t>
            </w:r>
          </w:p>
        </w:tc>
      </w:tr>
      <w:tr>
        <w:tblPrEx>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color w:val="000000"/>
              </w:rPr>
            </w:pPr>
            <w:r>
              <w:rPr>
                <w:rFonts w:hint="eastAsia" w:ascii="宋体" w:hAnsi="宋体" w:eastAsia="宋体" w:cs="宋体"/>
                <w:color w:val="000000"/>
                <w:kern w:val="0"/>
                <w:sz w:val="20"/>
                <w:szCs w:val="20"/>
                <w:lang w:val="en-US" w:eastAsia="zh-CN" w:bidi="ar"/>
              </w:rPr>
              <w:t>行政事业性收费</w:t>
            </w:r>
          </w:p>
        </w:tc>
        <w:tc>
          <w:tcPr>
            <w:tcW w:w="5027" w:type="dxa"/>
            <w:gridSpan w:val="3"/>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600" w:lineRule="exact"/>
        <w:ind w:right="0" w:firstLine="641" w:firstLineChars="200"/>
        <w:jc w:val="both"/>
        <w:textAlignment w:val="auto"/>
        <w:rPr>
          <w:rFonts w:hint="eastAsia" w:ascii="国标黑体" w:hAnsi="国标黑体" w:eastAsia="国标黑体" w:cs="国标黑体"/>
          <w:b w:val="0"/>
          <w:i w:val="0"/>
          <w:caps w:val="0"/>
          <w:color w:val="000000"/>
          <w:spacing w:val="0"/>
          <w:sz w:val="32"/>
          <w:szCs w:val="32"/>
        </w:rPr>
      </w:pPr>
      <w:r>
        <w:rPr>
          <w:rFonts w:hint="eastAsia" w:ascii="国标黑体" w:hAnsi="国标黑体" w:eastAsia="国标黑体" w:cs="国标黑体"/>
          <w:b/>
          <w:i w:val="0"/>
          <w:caps w:val="0"/>
          <w:color w:val="000000"/>
          <w:spacing w:val="0"/>
          <w:sz w:val="32"/>
          <w:szCs w:val="32"/>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16"/>
        <w:gridCol w:w="852"/>
        <w:gridCol w:w="9"/>
        <w:gridCol w:w="2058"/>
        <w:gridCol w:w="862"/>
        <w:gridCol w:w="751"/>
        <w:gridCol w:w="751"/>
        <w:gridCol w:w="808"/>
        <w:gridCol w:w="966"/>
        <w:gridCol w:w="707"/>
        <w:gridCol w:w="6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35" w:type="dxa"/>
            <w:gridSpan w:val="4"/>
            <w:vMerge w:val="restart"/>
            <w:tcBorders>
              <w:top w:val="single" w:color="auto" w:sz="8" w:space="0"/>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（本列数据的勾稽关系为：第一项加第二项之和，等于第三项加第四项之和）</w:t>
            </w:r>
          </w:p>
        </w:tc>
        <w:tc>
          <w:tcPr>
            <w:tcW w:w="5536" w:type="dxa"/>
            <w:gridSpan w:val="7"/>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35" w:type="dxa"/>
            <w:gridSpan w:val="4"/>
            <w:vMerge w:val="continue"/>
            <w:tcBorders>
              <w:top w:val="single" w:color="auto" w:sz="8" w:space="0"/>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62" w:type="dxa"/>
            <w:vMerge w:val="restart"/>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自然人</w:t>
            </w:r>
          </w:p>
        </w:tc>
        <w:tc>
          <w:tcPr>
            <w:tcW w:w="3983" w:type="dxa"/>
            <w:gridSpan w:val="5"/>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法人或其他组织</w:t>
            </w:r>
          </w:p>
        </w:tc>
        <w:tc>
          <w:tcPr>
            <w:tcW w:w="691" w:type="dxa"/>
            <w:vMerge w:val="restart"/>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35" w:type="dxa"/>
            <w:gridSpan w:val="4"/>
            <w:vMerge w:val="continue"/>
            <w:tcBorders>
              <w:top w:val="single" w:color="auto" w:sz="8" w:space="0"/>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62"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商业企业</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科研机构</w:t>
            </w:r>
          </w:p>
        </w:tc>
        <w:tc>
          <w:tcPr>
            <w:tcW w:w="808"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社会公益组织</w:t>
            </w:r>
          </w:p>
        </w:tc>
        <w:tc>
          <w:tcPr>
            <w:tcW w:w="966"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法律服务机构</w:t>
            </w:r>
          </w:p>
        </w:tc>
        <w:tc>
          <w:tcPr>
            <w:tcW w:w="707"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其他</w:t>
            </w:r>
          </w:p>
        </w:tc>
        <w:tc>
          <w:tcPr>
            <w:tcW w:w="691" w:type="dxa"/>
            <w:vMerge w:val="continue"/>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35" w:type="dxa"/>
            <w:gridSpan w:val="4"/>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一、本年新收政府信息公开申请数量</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35" w:type="dxa"/>
            <w:gridSpan w:val="4"/>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二、上年结转政府信息公开申请数量</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三、本年度办理结果</w:t>
            </w:r>
          </w:p>
        </w:tc>
        <w:tc>
          <w:tcPr>
            <w:tcW w:w="2919" w:type="dxa"/>
            <w:gridSpan w:val="3"/>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ascii="楷体" w:hAnsi="楷体" w:eastAsia="楷体" w:cs="楷体"/>
                <w:color w:val="000000"/>
                <w:kern w:val="0"/>
                <w:sz w:val="20"/>
                <w:szCs w:val="20"/>
                <w:lang w:val="en-US" w:eastAsia="zh-CN" w:bidi="ar"/>
              </w:rPr>
              <w:t>（一）予以公开</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91"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2919" w:type="dxa"/>
            <w:gridSpan w:val="3"/>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（二）部分公开（区分处理的，只计这一情形，不计其他情形）</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52" w:type="dxa"/>
            <w:vMerge w:val="restart"/>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（三）不予公开</w:t>
            </w:r>
          </w:p>
        </w:tc>
        <w:tc>
          <w:tcPr>
            <w:tcW w:w="2067"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1.属于国家秘密</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91"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52"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2067"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2.其他法律行政法规禁止公开</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52"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2067"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3.危及“三安全一稳定”</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52"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2067"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4.保护第三方合法权益</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52"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2067"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5.属于三类内部事务信息</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52"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2067"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6.属于四类过程性信息</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52"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2067"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7.属于行政执法案卷</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52"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2067"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8.属于行政查询事项</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52" w:type="dxa"/>
            <w:vMerge w:val="restart"/>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（四）无法提供</w:t>
            </w:r>
          </w:p>
        </w:tc>
        <w:tc>
          <w:tcPr>
            <w:tcW w:w="2067"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1.本机关不掌握相关政府信息</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52"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2067"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2.没有现成信息需要另行制作</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52"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2067"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3.补正后申请内容仍不明确</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52" w:type="dxa"/>
            <w:vMerge w:val="restart"/>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（五）不予处理</w:t>
            </w:r>
          </w:p>
        </w:tc>
        <w:tc>
          <w:tcPr>
            <w:tcW w:w="2067"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1.信访举报投诉类申请</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52"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2067"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2.重复申请</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52"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2067"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3.要求提供公开出版物</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52"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2067"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4.无正当理由大量反复申请</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52"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2067" w:type="dxa"/>
            <w:gridSpan w:val="2"/>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5.要求行政机关确认或重新出具已获取信息</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47"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61" w:type="dxa"/>
            <w:gridSpan w:val="2"/>
            <w:vMerge w:val="restart"/>
            <w:tcBorders>
              <w:top w:val="nil"/>
              <w:left w:val="nil"/>
              <w:right w:val="single" w:color="auto" w:sz="4"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color w:val="000000"/>
                <w:kern w:val="0"/>
                <w:sz w:val="20"/>
                <w:szCs w:val="20"/>
                <w:lang w:val="en-US" w:eastAsia="zh-CN" w:bidi="ar"/>
              </w:rPr>
            </w:pPr>
            <w:r>
              <w:rPr>
                <w:rFonts w:hint="eastAsia" w:ascii="楷体" w:hAnsi="楷体" w:eastAsia="楷体" w:cs="楷体"/>
                <w:color w:val="000000"/>
                <w:kern w:val="0"/>
                <w:sz w:val="20"/>
                <w:szCs w:val="20"/>
                <w:lang w:val="en-US" w:eastAsia="zh-CN" w:bidi="ar"/>
              </w:rPr>
              <w:t>（六）其他处理</w:t>
            </w:r>
          </w:p>
        </w:tc>
        <w:tc>
          <w:tcPr>
            <w:tcW w:w="2058" w:type="dxa"/>
            <w:tcBorders>
              <w:top w:val="nil"/>
              <w:left w:val="single" w:color="auto" w:sz="4"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color w:val="000000"/>
                <w:kern w:val="0"/>
                <w:sz w:val="20"/>
                <w:szCs w:val="20"/>
                <w:lang w:val="en-US" w:eastAsia="zh-CN" w:bidi="ar"/>
              </w:rPr>
            </w:pPr>
            <w:r>
              <w:rPr>
                <w:rFonts w:hint="eastAsia" w:ascii="楷体" w:hAnsi="楷体" w:eastAsia="楷体" w:cs="楷体"/>
                <w:color w:val="000000"/>
                <w:kern w:val="0"/>
                <w:sz w:val="20"/>
                <w:szCs w:val="20"/>
                <w:lang w:val="en-US" w:eastAsia="zh-CN" w:bidi="ar"/>
              </w:rPr>
              <w:t>1.申请人无正当理由逾期不补正、行政机关不再处理其政府信息公开申请</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r>
              <w:rPr>
                <w:rFonts w:hint="eastAsia" w:cs="Calibri"/>
                <w:color w:val="000000"/>
                <w:kern w:val="0"/>
                <w:sz w:val="20"/>
                <w:szCs w:val="20"/>
                <w:lang w:val="en-US" w:eastAsia="zh-CN" w:bidi="ar"/>
              </w:rPr>
              <w:t>0</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r>
              <w:rPr>
                <w:rFonts w:hint="eastAsia" w:cs="Calibri"/>
                <w:color w:val="000000"/>
                <w:kern w:val="0"/>
                <w:sz w:val="20"/>
                <w:szCs w:val="20"/>
                <w:lang w:val="en-US" w:eastAsia="zh-CN" w:bidi="ar"/>
              </w:rPr>
              <w:t>0</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r>
              <w:rPr>
                <w:rFonts w:hint="eastAsia" w:cs="Calibri"/>
                <w:color w:val="000000"/>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61" w:type="dxa"/>
            <w:gridSpan w:val="2"/>
            <w:vMerge w:val="continue"/>
            <w:tcBorders>
              <w:left w:val="nil"/>
              <w:bottom w:val="single" w:color="auto" w:sz="8" w:space="0"/>
              <w:right w:val="single" w:color="auto" w:sz="4"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color w:val="000000"/>
                <w:kern w:val="0"/>
                <w:sz w:val="20"/>
                <w:szCs w:val="20"/>
                <w:lang w:val="en-US" w:eastAsia="zh-CN" w:bidi="ar"/>
              </w:rPr>
            </w:pPr>
          </w:p>
        </w:tc>
        <w:tc>
          <w:tcPr>
            <w:tcW w:w="2058" w:type="dxa"/>
            <w:tcBorders>
              <w:top w:val="nil"/>
              <w:left w:val="single" w:color="auto" w:sz="4"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color w:val="000000"/>
                <w:kern w:val="0"/>
                <w:sz w:val="20"/>
                <w:szCs w:val="20"/>
                <w:lang w:val="en-US" w:eastAsia="zh-CN" w:bidi="ar"/>
              </w:rPr>
            </w:pPr>
            <w:r>
              <w:rPr>
                <w:rFonts w:hint="eastAsia" w:ascii="楷体" w:hAnsi="楷体" w:eastAsia="楷体" w:cs="楷体"/>
                <w:color w:val="000000"/>
                <w:kern w:val="0"/>
                <w:sz w:val="20"/>
                <w:szCs w:val="20"/>
                <w:lang w:val="en-US" w:eastAsia="zh-CN" w:bidi="ar"/>
              </w:rPr>
              <w:t>2.申请人逾期未按收费通知要求缴纳费用、行政机关不再处理其政府信息公开申请</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r>
              <w:rPr>
                <w:rFonts w:hint="eastAsia" w:cs="Calibri"/>
                <w:color w:val="000000"/>
                <w:kern w:val="0"/>
                <w:sz w:val="20"/>
                <w:szCs w:val="20"/>
                <w:lang w:val="en-US" w:eastAsia="zh-CN" w:bidi="ar"/>
              </w:rPr>
              <w:t>0</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r>
              <w:rPr>
                <w:rFonts w:hint="eastAsia" w:cs="Calibri"/>
                <w:color w:val="000000"/>
                <w:kern w:val="0"/>
                <w:sz w:val="20"/>
                <w:szCs w:val="20"/>
                <w:lang w:val="en-US" w:eastAsia="zh-CN" w:bidi="ar"/>
              </w:rPr>
              <w:t>0</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r>
              <w:rPr>
                <w:rFonts w:hint="eastAsia" w:cs="Calibri"/>
                <w:color w:val="000000"/>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color w:val="000000"/>
                <w:kern w:val="0"/>
                <w:sz w:val="20"/>
                <w:szCs w:val="20"/>
                <w:lang w:val="en-US" w:eastAsia="zh-CN" w:bidi="ar"/>
              </w:rPr>
            </w:pP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861" w:type="dxa"/>
            <w:gridSpan w:val="2"/>
            <w:vMerge w:val="continue"/>
            <w:tcBorders>
              <w:left w:val="nil"/>
              <w:bottom w:val="single" w:color="auto" w:sz="8" w:space="0"/>
              <w:right w:val="single" w:color="auto" w:sz="4"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color w:val="000000"/>
                <w:kern w:val="0"/>
                <w:sz w:val="20"/>
                <w:szCs w:val="20"/>
                <w:lang w:val="en-US" w:eastAsia="zh-CN" w:bidi="ar"/>
              </w:rPr>
            </w:pPr>
          </w:p>
        </w:tc>
        <w:tc>
          <w:tcPr>
            <w:tcW w:w="2058" w:type="dxa"/>
            <w:tcBorders>
              <w:top w:val="nil"/>
              <w:left w:val="single" w:color="auto" w:sz="4"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color w:val="000000"/>
                <w:kern w:val="0"/>
                <w:sz w:val="20"/>
                <w:szCs w:val="20"/>
                <w:lang w:val="en-US" w:eastAsia="zh-CN" w:bidi="ar"/>
              </w:rPr>
            </w:pPr>
            <w:r>
              <w:rPr>
                <w:rFonts w:hint="eastAsia" w:ascii="楷体" w:hAnsi="楷体" w:eastAsia="楷体" w:cs="楷体"/>
                <w:color w:val="000000"/>
                <w:kern w:val="0"/>
                <w:sz w:val="20"/>
                <w:szCs w:val="20"/>
                <w:lang w:val="en-US" w:eastAsia="zh-CN" w:bidi="ar"/>
              </w:rPr>
              <w:t>3.其他</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2919" w:type="dxa"/>
            <w:gridSpan w:val="3"/>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（七）总计</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35" w:type="dxa"/>
            <w:gridSpan w:val="4"/>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四、结转下年度继续办理</w:t>
            </w:r>
          </w:p>
        </w:tc>
        <w:tc>
          <w:tcPr>
            <w:tcW w:w="862"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5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80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96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707"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eastAsia="宋体"/>
                <w:color w:val="000000"/>
                <w:sz w:val="24"/>
                <w:szCs w:val="24"/>
                <w:lang w:val="en-US" w:eastAsia="zh-CN"/>
              </w:rPr>
            </w:pPr>
            <w:r>
              <w:rPr>
                <w:rFonts w:hint="eastAsia" w:ascii="宋体"/>
                <w:color w:val="000000"/>
                <w:sz w:val="24"/>
                <w:szCs w:val="24"/>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1" w:firstLineChars="200"/>
        <w:jc w:val="both"/>
        <w:textAlignment w:val="auto"/>
        <w:rPr>
          <w:rFonts w:hint="eastAsia" w:ascii="宋体" w:hAnsi="宋体" w:eastAsia="宋体" w:cs="宋体"/>
          <w:b w:val="0"/>
          <w:i w:val="0"/>
          <w:caps w:val="0"/>
          <w:color w:val="000000"/>
          <w:spacing w:val="0"/>
          <w:sz w:val="32"/>
          <w:szCs w:val="32"/>
        </w:rPr>
      </w:pPr>
      <w:r>
        <w:rPr>
          <w:rFonts w:hint="eastAsia" w:ascii="国标黑体" w:hAnsi="国标黑体" w:eastAsia="国标黑体" w:cs="国标黑体"/>
          <w:b/>
          <w:i w:val="0"/>
          <w:caps w:val="0"/>
          <w:color w:val="000000"/>
          <w:spacing w:val="0"/>
          <w:sz w:val="32"/>
          <w:szCs w:val="32"/>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604" w:type="dxa"/>
            <w:vMerge w:val="continue"/>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color w:val="000000"/>
                <w:sz w:val="24"/>
                <w:szCs w:val="24"/>
              </w:rPr>
            </w:pPr>
          </w:p>
        </w:tc>
        <w:tc>
          <w:tcPr>
            <w:tcW w:w="55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04" w:type="dxa"/>
            <w:tcBorders>
              <w:top w:val="nil"/>
              <w:left w:val="single" w:color="auto" w:sz="8" w:space="0"/>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eastAsia="宋体" w:cs="Calibri"/>
                <w:color w:val="000000"/>
                <w:kern w:val="0"/>
                <w:sz w:val="20"/>
                <w:szCs w:val="20"/>
                <w:lang w:val="en-US" w:eastAsia="zh-CN" w:bidi="ar"/>
              </w:rPr>
              <w:t> </w:t>
            </w:r>
            <w:r>
              <w:rPr>
                <w:rFonts w:hint="eastAsia" w:cs="Calibri"/>
                <w:color w:val="000000"/>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noWrap w:val="0"/>
            <w:tcMar>
              <w:top w:w="0" w:type="dxa"/>
              <w:left w:w="108" w:type="dxa"/>
              <w:bottom w:w="0" w:type="dxa"/>
              <w:right w:w="108" w:type="dxa"/>
            </w:tcMar>
            <w:vAlign w:val="center"/>
          </w:tcPr>
          <w:p>
            <w:pPr>
              <w:rPr>
                <w:rFonts w:hint="eastAsia" w:ascii="宋体" w:eastAsia="宋体"/>
                <w:color w:val="000000"/>
                <w:sz w:val="24"/>
                <w:szCs w:val="24"/>
                <w:lang w:val="en-US" w:eastAsia="zh-CN"/>
              </w:rPr>
            </w:pPr>
            <w:r>
              <w:rPr>
                <w:rFonts w:hint="eastAsia" w:ascii="宋体"/>
                <w:color w:val="000000"/>
                <w:sz w:val="24"/>
                <w:szCs w:val="24"/>
                <w:lang w:val="en-US" w:eastAsia="zh-CN"/>
              </w:rPr>
              <w:t>0</w:t>
            </w:r>
          </w:p>
        </w:tc>
      </w:tr>
    </w:tbl>
    <w:p>
      <w:pPr>
        <w:widowControl w:val="0"/>
        <w:numPr>
          <w:ilvl w:val="0"/>
          <w:numId w:val="0"/>
        </w:numPr>
        <w:jc w:val="both"/>
        <w:rPr>
          <w:rFonts w:hint="eastAsia"/>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lang w:eastAsia="zh-CN"/>
        </w:rPr>
      </w:pPr>
      <w:r>
        <w:rPr>
          <w:rFonts w:hint="eastAsia" w:ascii="CESI楷体-GB2312" w:hAnsi="CESI楷体-GB2312" w:eastAsia="CESI楷体-GB2312" w:cs="CESI楷体-GB2312"/>
          <w:sz w:val="32"/>
          <w:szCs w:val="32"/>
          <w:lang w:eastAsia="zh-CN"/>
        </w:rPr>
        <w:t>（一）存在的问题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2024</w:t>
      </w:r>
      <w:r>
        <w:rPr>
          <w:rFonts w:hint="eastAsia" w:ascii="CESI仿宋-GB2312" w:hAnsi="CESI仿宋-GB2312" w:eastAsia="CESI仿宋-GB2312" w:cs="CESI仿宋-GB2312"/>
          <w:sz w:val="32"/>
          <w:szCs w:val="32"/>
          <w:lang w:eastAsia="zh-CN"/>
        </w:rPr>
        <w:t>年，我镇信息公开工作在政府主管部门的领导下，能够实现及时更新，并按相关要求添加专门栏目。但内容公开方面还存在一定的欠缺，对于我镇应主动公开内容的认识不够清楚，对于本单位主动公开范围把握不够准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lang w:eastAsia="zh-CN"/>
        </w:rPr>
      </w:pPr>
      <w:r>
        <w:rPr>
          <w:rFonts w:hint="eastAsia" w:ascii="CESI楷体-GB2312" w:hAnsi="CESI楷体-GB2312" w:eastAsia="CESI楷体-GB2312" w:cs="CESI楷体-GB2312"/>
          <w:sz w:val="32"/>
          <w:szCs w:val="32"/>
          <w:lang w:eastAsia="zh-CN"/>
        </w:rPr>
        <w:t>（二）具体改进措施</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1.强化组织领导。不断创新工作方式方法，加强信息报送工作力度、内容深度。通过参加相关培训，加强专职人员的信息收集、编辑能力，坚持把政务公开工作作为机关形象和工作作风的重要载体，提升信息内容公开的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2.严格遵守程序。严格根据相关法律、法规进行审核，严把信息审查的质量关，要做到涉密信息不上传，认真落实“先审查、后公开”的原则，确保信息准确。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3.加强沟通协调。面对上级以及职能部门来文，多与发文机关沟通，确定文件涉密范围和公开途径，严格落实好政务信息公开相关规定。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firstLineChars="200"/>
        <w:jc w:val="both"/>
        <w:textAlignment w:val="auto"/>
        <w:rPr>
          <w:rFonts w:hint="eastAsia" w:ascii="国标黑体" w:hAnsi="国标黑体" w:eastAsia="国标黑体" w:cs="国标黑体"/>
          <w:b/>
          <w:bCs/>
          <w:spacing w:val="0"/>
          <w:sz w:val="32"/>
          <w:szCs w:val="32"/>
        </w:rPr>
      </w:pPr>
      <w:r>
        <w:rPr>
          <w:rFonts w:hint="eastAsia" w:ascii="国标黑体" w:hAnsi="国标黑体" w:eastAsia="国标黑体" w:cs="国标黑体"/>
          <w:b/>
          <w:bCs/>
          <w:spacing w:val="0"/>
          <w:sz w:val="32"/>
          <w:szCs w:val="32"/>
        </w:rPr>
        <w:t>六、其他需要报告的事项 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无</w:t>
      </w:r>
    </w:p>
    <w:p>
      <w:pPr>
        <w:widowControl w:val="0"/>
        <w:numPr>
          <w:ilvl w:val="0"/>
          <w:numId w:val="0"/>
        </w:numPr>
        <w:ind w:leftChars="0"/>
        <w:jc w:val="both"/>
        <w:rPr>
          <w:rFonts w:hint="eastAsia"/>
          <w:lang w:eastAsia="zh-CN"/>
        </w:rPr>
      </w:pPr>
    </w:p>
    <w:p>
      <w:pPr>
        <w:widowControl w:val="0"/>
        <w:numPr>
          <w:ilvl w:val="0"/>
          <w:numId w:val="0"/>
        </w:numPr>
        <w:ind w:leftChars="0"/>
        <w:jc w:val="both"/>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059">
    <w:panose1 w:val="000005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4D9BC"/>
    <w:multiLevelType w:val="singleLevel"/>
    <w:tmpl w:val="D0C4D9BC"/>
    <w:lvl w:ilvl="0" w:tentative="0">
      <w:start w:val="3"/>
      <w:numFmt w:val="chineseCounting"/>
      <w:suff w:val="nothing"/>
      <w:lvlText w:val="（%1）"/>
      <w:lvlJc w:val="left"/>
      <w:rPr>
        <w:rFonts w:hint="eastAsia"/>
      </w:rPr>
    </w:lvl>
  </w:abstractNum>
  <w:abstractNum w:abstractNumId="1">
    <w:nsid w:val="ECFE6ADC"/>
    <w:multiLevelType w:val="singleLevel"/>
    <w:tmpl w:val="ECFE6ADC"/>
    <w:lvl w:ilvl="0" w:tentative="0">
      <w:start w:val="5"/>
      <w:numFmt w:val="chineseCounting"/>
      <w:suff w:val="nothing"/>
      <w:lvlText w:val="%1、"/>
      <w:lvlJc w:val="left"/>
      <w:rPr>
        <w:rFonts w:hint="eastAsia"/>
      </w:rPr>
    </w:lvl>
  </w:abstractNum>
  <w:abstractNum w:abstractNumId="2">
    <w:nsid w:val="7BF411A1"/>
    <w:multiLevelType w:val="singleLevel"/>
    <w:tmpl w:val="7BF411A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YjUzODFhYmJkNWRiZjIwYjgwZTg0NzkwN2JmYmUifQ=="/>
  </w:docVars>
  <w:rsids>
    <w:rsidRoot w:val="00000000"/>
    <w:rsid w:val="0140116F"/>
    <w:rsid w:val="02A30447"/>
    <w:rsid w:val="05696E27"/>
    <w:rsid w:val="07271A12"/>
    <w:rsid w:val="079F3753"/>
    <w:rsid w:val="110A5B65"/>
    <w:rsid w:val="114E34EC"/>
    <w:rsid w:val="12CD73C6"/>
    <w:rsid w:val="13160D6D"/>
    <w:rsid w:val="14F670A8"/>
    <w:rsid w:val="16E36202"/>
    <w:rsid w:val="1BC81072"/>
    <w:rsid w:val="1DDF4451"/>
    <w:rsid w:val="1EDF133C"/>
    <w:rsid w:val="25951FC5"/>
    <w:rsid w:val="27651E6B"/>
    <w:rsid w:val="27791BC6"/>
    <w:rsid w:val="2AE15806"/>
    <w:rsid w:val="2BC2163A"/>
    <w:rsid w:val="2FE51D9B"/>
    <w:rsid w:val="33FF0625"/>
    <w:rsid w:val="34BA1A48"/>
    <w:rsid w:val="3CB45A9D"/>
    <w:rsid w:val="4026414E"/>
    <w:rsid w:val="40580367"/>
    <w:rsid w:val="42B555FD"/>
    <w:rsid w:val="448E29ED"/>
    <w:rsid w:val="44FB62CC"/>
    <w:rsid w:val="456D64C1"/>
    <w:rsid w:val="45C81AEB"/>
    <w:rsid w:val="490F1296"/>
    <w:rsid w:val="51D11D27"/>
    <w:rsid w:val="53C90F08"/>
    <w:rsid w:val="545C7FCE"/>
    <w:rsid w:val="57DFEBC5"/>
    <w:rsid w:val="5ACB40C5"/>
    <w:rsid w:val="5EB36A3D"/>
    <w:rsid w:val="5F7C32D2"/>
    <w:rsid w:val="5FB011CE"/>
    <w:rsid w:val="60713D92"/>
    <w:rsid w:val="633E6EC4"/>
    <w:rsid w:val="64990483"/>
    <w:rsid w:val="681542C4"/>
    <w:rsid w:val="699742AD"/>
    <w:rsid w:val="6D88378A"/>
    <w:rsid w:val="6DF27E1D"/>
    <w:rsid w:val="6EB26D11"/>
    <w:rsid w:val="6FF1849F"/>
    <w:rsid w:val="70D6480D"/>
    <w:rsid w:val="71BC1C54"/>
    <w:rsid w:val="76CA6BC2"/>
    <w:rsid w:val="77F79F3E"/>
    <w:rsid w:val="79416365"/>
    <w:rsid w:val="7A0F6A75"/>
    <w:rsid w:val="7B705DCD"/>
    <w:rsid w:val="86FF7F48"/>
    <w:rsid w:val="AEFFFD90"/>
    <w:rsid w:val="EFF743C9"/>
    <w:rsid w:val="FB4497E9"/>
    <w:rsid w:val="FDF7A3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893</Words>
  <Characters>933</Characters>
  <Lines>0</Lines>
  <Paragraphs>0</Paragraphs>
  <TotalTime>22</TotalTime>
  <ScaleCrop>false</ScaleCrop>
  <LinksUpToDate>false</LinksUpToDate>
  <CharactersWithSpaces>1180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2020-02-05T09:42:00Z</dcterms:created>
  <dc:creator>Administrator</dc:creator>
  <cp:lastModifiedBy>baixin</cp:lastModifiedBy>
  <dcterms:modified xsi:type="dcterms:W3CDTF">2025-01-16T15:54:34Z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A2519202358D58B43ABB8867C529D8F8</vt:lpwstr>
  </property>
</Properties>
</file>