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widowControl w:val="0"/>
        <w:wordWrap/>
        <w:adjustRightInd/>
        <w:snapToGrid/>
        <w:spacing w:before="0" w:after="0" w:line="54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荫城镇人民政府</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开展</w:t>
      </w:r>
      <w:r>
        <w:rPr>
          <w:rFonts w:hint="eastAsia" w:ascii="方正小标宋简体" w:hAnsi="方正小标宋简体" w:eastAsia="方正小标宋简体" w:cs="方正小标宋简体"/>
          <w:sz w:val="44"/>
          <w:szCs w:val="44"/>
          <w:lang w:val="en-US" w:eastAsia="zh-CN"/>
        </w:rPr>
        <w:t>2022年</w:t>
      </w:r>
      <w:r>
        <w:rPr>
          <w:rFonts w:hint="eastAsia" w:ascii="方正小标宋简体" w:hAnsi="方正小标宋简体" w:eastAsia="方正小标宋简体" w:cs="方正小标宋简体"/>
          <w:sz w:val="44"/>
          <w:szCs w:val="44"/>
        </w:rPr>
        <w:t>“安全生产月”活动的通知</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各村</w:t>
      </w:r>
      <w:r>
        <w:rPr>
          <w:rFonts w:hint="eastAsia" w:ascii="仿宋_GB2312" w:hAnsi="仿宋_GB2312" w:eastAsia="仿宋_GB2312" w:cs="仿宋_GB2312"/>
          <w:kern w:val="0"/>
          <w:sz w:val="32"/>
          <w:szCs w:val="32"/>
          <w:lang w:val="en-US" w:eastAsia="zh-CN"/>
        </w:rPr>
        <w:t>，各站所</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sz w:val="32"/>
          <w:szCs w:val="32"/>
          <w:u w:val="none"/>
          <w:lang w:val="en-US" w:eastAsia="zh-CN"/>
        </w:rPr>
        <w:sectPr>
          <w:headerReference r:id="rId3" w:type="default"/>
          <w:pgSz w:w="11906" w:h="16838"/>
          <w:pgMar w:top="1701" w:right="1417" w:bottom="1701" w:left="1417" w:header="851" w:footer="992" w:gutter="0"/>
          <w:pgNumType w:fmt="decimal" w:start="2"/>
          <w:cols w:space="720" w:num="1"/>
          <w:docGrid w:type="lines" w:linePitch="312" w:charSpace="0"/>
        </w:sectPr>
      </w:pPr>
      <w:r>
        <w:rPr>
          <w:rFonts w:hint="eastAsia" w:ascii="仿宋_GB2312" w:hAnsi="仿宋_GB2312" w:eastAsia="仿宋_GB2312" w:cs="仿宋_GB2312"/>
          <w:color w:val="auto"/>
          <w:sz w:val="32"/>
          <w:szCs w:val="32"/>
          <w:u w:val="none"/>
          <w:lang w:eastAsia="zh-CN"/>
        </w:rPr>
        <w:t>今年6月是第21个全国"安全生产月"，主题是“遵守安全生产法 当好第一责任人”，6月16日为全国安全宣传咨询日。</w:t>
      </w:r>
      <w:r>
        <w:rPr>
          <w:rFonts w:hint="eastAsia" w:ascii="仿宋_GB2312" w:hAnsi="仿宋_GB2312" w:eastAsia="仿宋_GB2312" w:cs="仿宋_GB2312"/>
          <w:color w:val="auto"/>
          <w:sz w:val="32"/>
          <w:szCs w:val="32"/>
          <w:u w:val="none"/>
          <w:lang w:val="en-US" w:eastAsia="zh-CN"/>
        </w:rPr>
        <w:t>为深入学习贯彻习近平总书记关于安全生产一系列重要指示精神，认真落实全国安全生产电视电话会议部署要求，进一步推动落实安全生产十五条硬措施，切实做好《中华人民共和国安全生产法》《中华人民共和国行政处罚法》《中华人民共和国刑法修正案（十一）》《生产安全事故应急预案管理办法》《生产经营单位生产安全事故应急预案编制导则》等法律规范的宣贯工作，响应《全国安全生产专项整治三年行动计划》，提升全员安全生产管理能</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u w:val="none"/>
          <w:lang w:val="en-US" w:eastAsia="zh-CN"/>
        </w:rPr>
        <w:t>力和法律素养，从根本上消除事故隐患，最大限度防范遏制各类事故发生。</w:t>
      </w:r>
      <w:r>
        <w:rPr>
          <w:rFonts w:hint="eastAsia" w:ascii="仿宋_GB2312" w:hAnsi="仿宋_GB2312" w:eastAsia="仿宋_GB2312" w:cs="仿宋_GB2312"/>
          <w:b w:val="0"/>
          <w:bCs w:val="0"/>
          <w:sz w:val="32"/>
          <w:szCs w:val="32"/>
          <w:lang w:val="en-US" w:eastAsia="zh-CN"/>
        </w:rPr>
        <w:t>根据《长治市上党区人民政府安全生产委员会办公室关于开展2022年“安全生产月”活动的通知》(长上政安办发〔2022〕19号)文件要求，</w:t>
      </w:r>
      <w:r>
        <w:rPr>
          <w:rFonts w:hint="eastAsia" w:ascii="仿宋_GB2312" w:hAnsi="仿宋_GB2312" w:eastAsia="仿宋_GB2312" w:cs="仿宋_GB2312"/>
          <w:sz w:val="32"/>
          <w:szCs w:val="32"/>
          <w:lang w:val="en-US" w:eastAsia="zh-CN"/>
        </w:rPr>
        <w:t>为做好全镇</w:t>
      </w:r>
      <w:r>
        <w:rPr>
          <w:rFonts w:hint="eastAsia" w:ascii="仿宋_GB2312" w:hAnsi="仿宋_GB2312" w:eastAsia="仿宋_GB2312" w:cs="仿宋_GB2312"/>
          <w:sz w:val="32"/>
          <w:szCs w:val="32"/>
          <w:lang w:eastAsia="zh-CN"/>
        </w:rPr>
        <w:t>“安全生产月”活动。现将有关事项通知如下：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指导思想</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eastAsia="zh-CN"/>
        </w:rPr>
        <w:t>习近平</w:t>
      </w:r>
      <w:r>
        <w:rPr>
          <w:rFonts w:hint="eastAsia" w:ascii="仿宋_GB2312" w:hAnsi="仿宋_GB2312" w:eastAsia="仿宋_GB2312" w:cs="仿宋_GB2312"/>
          <w:sz w:val="32"/>
          <w:szCs w:val="32"/>
        </w:rPr>
        <w:t>新时代中国特色社会主义思想为指导，深入学习宣传</w:t>
      </w:r>
      <w:r>
        <w:rPr>
          <w:rFonts w:hint="eastAsia" w:ascii="仿宋_GB2312" w:hAnsi="仿宋_GB2312" w:eastAsia="仿宋_GB2312" w:cs="仿宋_GB2312"/>
          <w:sz w:val="32"/>
          <w:szCs w:val="32"/>
          <w:lang w:eastAsia="zh-CN"/>
        </w:rPr>
        <w:t>贯彻习近平</w:t>
      </w:r>
      <w:r>
        <w:rPr>
          <w:rFonts w:hint="eastAsia" w:ascii="仿宋_GB2312" w:hAnsi="仿宋_GB2312" w:eastAsia="仿宋_GB2312" w:cs="仿宋_GB2312"/>
          <w:sz w:val="32"/>
          <w:szCs w:val="32"/>
        </w:rPr>
        <w:t>总书记关于安全生产重要论述，</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面</w:t>
      </w:r>
      <w:r>
        <w:rPr>
          <w:rFonts w:hint="eastAsia" w:ascii="仿宋_GB2312" w:hAnsi="仿宋_GB2312" w:eastAsia="仿宋_GB2312" w:cs="仿宋_GB2312"/>
          <w:sz w:val="32"/>
          <w:szCs w:val="32"/>
          <w:lang w:eastAsia="zh-CN"/>
        </w:rPr>
        <w:t>贯彻落实各级党委政府关于</w:t>
      </w:r>
      <w:r>
        <w:rPr>
          <w:rFonts w:hint="eastAsia" w:ascii="仿宋_GB2312" w:hAnsi="仿宋_GB2312" w:eastAsia="仿宋_GB2312" w:cs="仿宋_GB2312"/>
          <w:sz w:val="32"/>
          <w:szCs w:val="32"/>
        </w:rPr>
        <w:t>安全生产</w:t>
      </w:r>
      <w:r>
        <w:rPr>
          <w:rFonts w:hint="eastAsia" w:ascii="仿宋_GB2312" w:hAnsi="仿宋_GB2312" w:eastAsia="仿宋_GB2312" w:cs="仿宋_GB2312"/>
          <w:sz w:val="32"/>
          <w:szCs w:val="32"/>
          <w:lang w:eastAsia="zh-CN"/>
        </w:rPr>
        <w:t>重大</w:t>
      </w:r>
      <w:r>
        <w:rPr>
          <w:rFonts w:hint="eastAsia" w:ascii="仿宋_GB2312" w:hAnsi="仿宋_GB2312" w:eastAsia="仿宋_GB2312" w:cs="仿宋_GB2312"/>
          <w:sz w:val="32"/>
          <w:szCs w:val="32"/>
        </w:rPr>
        <w:t>决策部署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紧密结合安全生产专项整治三年行动，牢固树立安全发展理念，完善公民安全教育体系。坚持社会共治，坚持群众观点和群众路线，拓宽人民群众参与公共安全治理的有效途径。加强公益宣传，普及安全知识，培育安全文化，从安全价值、安全伦理、安全认同、安全意愿、安全意识、安全知识与安全技能等方面，扎实开展安全</w:t>
      </w:r>
      <w:r>
        <w:rPr>
          <w:rFonts w:hint="eastAsia" w:ascii="仿宋_GB2312" w:hAnsi="仿宋_GB2312" w:eastAsia="仿宋_GB2312" w:cs="仿宋_GB2312"/>
          <w:sz w:val="32"/>
          <w:szCs w:val="32"/>
          <w:lang w:eastAsia="zh-CN"/>
        </w:rPr>
        <w:t>生产“</w:t>
      </w:r>
      <w:r>
        <w:rPr>
          <w:rFonts w:hint="eastAsia" w:ascii="仿宋_GB2312" w:hAnsi="仿宋_GB2312" w:eastAsia="仿宋_GB2312" w:cs="仿宋_GB2312"/>
          <w:sz w:val="32"/>
          <w:szCs w:val="32"/>
        </w:rPr>
        <w:t>宣传</w:t>
      </w:r>
      <w:r>
        <w:rPr>
          <w:rFonts w:hint="eastAsia" w:ascii="仿宋_GB2312" w:hAnsi="仿宋_GB2312" w:eastAsia="仿宋_GB2312" w:cs="仿宋_GB2312"/>
          <w:sz w:val="32"/>
          <w:szCs w:val="32"/>
          <w:lang w:eastAsia="zh-CN"/>
        </w:rPr>
        <w:t>月”活动</w:t>
      </w:r>
      <w:r>
        <w:rPr>
          <w:rFonts w:hint="eastAsia" w:ascii="仿宋_GB2312" w:hAnsi="仿宋_GB2312" w:eastAsia="仿宋_GB2312" w:cs="仿宋_GB2312"/>
          <w:sz w:val="32"/>
          <w:szCs w:val="32"/>
        </w:rPr>
        <w:t>，进一步增强公众风险防范、安全应急意识和自救互救能力，积极营造全社会关注、全民参与的良好氛围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通过教育培训、隐患曝光、问题整改、经验推广、案例</w:t>
      </w:r>
      <w:r>
        <w:rPr>
          <w:rFonts w:hint="eastAsia" w:ascii="仿宋_GB2312" w:hAnsi="仿宋_GB2312" w:eastAsia="仿宋_GB2312" w:cs="仿宋_GB2312"/>
          <w:sz w:val="32"/>
          <w:szCs w:val="32"/>
          <w:lang w:eastAsia="zh-CN"/>
        </w:rPr>
        <w:t>警示</w:t>
      </w:r>
      <w:r>
        <w:rPr>
          <w:rFonts w:hint="eastAsia" w:ascii="仿宋_GB2312" w:hAnsi="仿宋_GB2312" w:eastAsia="仿宋_GB2312" w:cs="仿宋_GB2312"/>
          <w:sz w:val="32"/>
          <w:szCs w:val="32"/>
        </w:rPr>
        <w:t>、监督举报、知识普及等既有声势又有实效的宣传教育活动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增强全民安全意识，提升公众安全素质，促进安全生产水平提</w:t>
      </w:r>
      <w:r>
        <w:rPr>
          <w:rFonts w:hint="eastAsia" w:ascii="仿宋_GB2312" w:hAnsi="仿宋_GB2312" w:eastAsia="仿宋_GB2312" w:cs="仿宋_GB2312"/>
          <w:sz w:val="32"/>
          <w:szCs w:val="32"/>
          <w:lang w:eastAsia="zh-CN"/>
        </w:rPr>
        <w:t>升</w:t>
      </w:r>
      <w:r>
        <w:rPr>
          <w:rFonts w:hint="eastAsia" w:ascii="仿宋_GB2312" w:hAnsi="仿宋_GB2312" w:eastAsia="仿宋_GB2312" w:cs="仿宋_GB2312"/>
          <w:sz w:val="32"/>
          <w:szCs w:val="32"/>
        </w:rPr>
        <w:t>和安全生产形势持续稳定，不断增强人民群众获得感、</w:t>
      </w:r>
      <w:r>
        <w:rPr>
          <w:rFonts w:hint="eastAsia" w:ascii="仿宋_GB2312" w:hAnsi="仿宋_GB2312" w:eastAsia="仿宋_GB2312" w:cs="仿宋_GB2312"/>
          <w:sz w:val="32"/>
          <w:szCs w:val="32"/>
          <w:lang w:eastAsia="zh-CN"/>
        </w:rPr>
        <w:t>幸福</w:t>
      </w:r>
      <w:r>
        <w:rPr>
          <w:rFonts w:hint="eastAsia" w:ascii="仿宋_GB2312" w:hAnsi="仿宋_GB2312" w:eastAsia="仿宋_GB2312" w:cs="仿宋_GB2312"/>
          <w:sz w:val="32"/>
          <w:szCs w:val="32"/>
        </w:rPr>
        <w:t>感、安全感，为</w:t>
      </w:r>
      <w:r>
        <w:rPr>
          <w:rFonts w:hint="eastAsia" w:ascii="仿宋_GB2312" w:hAnsi="仿宋_GB2312" w:eastAsia="仿宋_GB2312" w:cs="仿宋_GB2312"/>
          <w:color w:val="auto"/>
          <w:sz w:val="32"/>
          <w:szCs w:val="32"/>
          <w:u w:val="none"/>
          <w:lang w:val="en-US" w:eastAsia="zh-CN"/>
        </w:rPr>
        <w:t>党的二十大胜利召开创造良好安全环境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组织机构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为加强组织领导，成立</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“安全生产月”活动指导委员会，</w:t>
      </w:r>
      <w:r>
        <w:rPr>
          <w:rFonts w:hint="eastAsia" w:ascii="仿宋_GB2312" w:hAnsi="仿宋_GB2312" w:eastAsia="仿宋_GB2312" w:cs="仿宋_GB2312"/>
          <w:sz w:val="32"/>
          <w:szCs w:val="32"/>
          <w:lang w:eastAsia="zh-CN"/>
        </w:rPr>
        <w:t>镇长</w:t>
      </w:r>
      <w:r>
        <w:rPr>
          <w:rFonts w:hint="eastAsia" w:ascii="仿宋_GB2312" w:hAnsi="仿宋_GB2312" w:eastAsia="仿宋_GB2312" w:cs="仿宋_GB2312"/>
          <w:sz w:val="32"/>
          <w:szCs w:val="32"/>
        </w:rPr>
        <w:t>担任主任</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分管领导担任副主任，各村、各站所主要负责人为成员</w:t>
      </w:r>
      <w:r>
        <w:rPr>
          <w:rFonts w:hint="eastAsia" w:ascii="仿宋_GB2312" w:hAnsi="仿宋_GB2312" w:eastAsia="仿宋_GB2312" w:cs="仿宋_GB2312"/>
          <w:sz w:val="32"/>
          <w:szCs w:val="32"/>
        </w:rPr>
        <w:t>。“安全生产月”活动指导委员</w:t>
      </w:r>
      <w:r>
        <w:rPr>
          <w:rFonts w:hint="eastAsia" w:ascii="仿宋_GB2312" w:hAnsi="仿宋_GB2312" w:eastAsia="仿宋_GB2312" w:cs="仿宋_GB2312"/>
          <w:sz w:val="32"/>
          <w:szCs w:val="32"/>
          <w:lang w:eastAsia="zh-CN"/>
        </w:rPr>
        <w:t>会</w:t>
      </w:r>
      <w:r>
        <w:rPr>
          <w:rFonts w:hint="eastAsia" w:ascii="仿宋_GB2312" w:hAnsi="仿宋_GB2312" w:eastAsia="仿宋_GB2312" w:cs="仿宋_GB2312"/>
          <w:sz w:val="32"/>
          <w:szCs w:val="32"/>
        </w:rPr>
        <w:t>下设办公室，办公室设在</w:t>
      </w:r>
      <w:r>
        <w:rPr>
          <w:rFonts w:hint="eastAsia" w:ascii="仿宋_GB2312" w:hAnsi="仿宋_GB2312" w:eastAsia="仿宋_GB2312" w:cs="仿宋_GB2312"/>
          <w:sz w:val="32"/>
          <w:szCs w:val="32"/>
          <w:lang w:eastAsia="zh-CN"/>
        </w:rPr>
        <w:t>镇安监站</w:t>
      </w:r>
      <w:r>
        <w:rPr>
          <w:rFonts w:hint="eastAsia" w:ascii="仿宋_GB2312" w:hAnsi="仿宋_GB2312" w:eastAsia="仿宋_GB2312" w:cs="仿宋_GB2312"/>
          <w:sz w:val="32"/>
          <w:szCs w:val="32"/>
        </w:rPr>
        <w:t>，主任由</w:t>
      </w:r>
      <w:r>
        <w:rPr>
          <w:rFonts w:hint="eastAsia" w:ascii="仿宋_GB2312" w:hAnsi="仿宋_GB2312" w:eastAsia="仿宋_GB2312" w:cs="仿宋_GB2312"/>
          <w:sz w:val="32"/>
          <w:szCs w:val="32"/>
          <w:lang w:eastAsia="zh-CN"/>
        </w:rPr>
        <w:t>镇分管安全领导</w:t>
      </w:r>
      <w:r>
        <w:rPr>
          <w:rFonts w:hint="eastAsia" w:ascii="仿宋_GB2312" w:hAnsi="仿宋_GB2312" w:eastAsia="仿宋_GB2312" w:cs="仿宋_GB2312"/>
          <w:sz w:val="32"/>
          <w:szCs w:val="32"/>
        </w:rPr>
        <w:t>担任。主要职责是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负责对全</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eastAsia="zh-CN"/>
        </w:rPr>
        <w:t>生</w:t>
      </w:r>
      <w:r>
        <w:rPr>
          <w:rFonts w:hint="eastAsia" w:ascii="仿宋_GB2312" w:hAnsi="仿宋_GB2312" w:eastAsia="仿宋_GB2312" w:cs="仿宋_GB2312"/>
          <w:sz w:val="32"/>
          <w:szCs w:val="32"/>
        </w:rPr>
        <w:t>产月”活动进行总体安排部署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镇级</w:t>
      </w:r>
      <w:r>
        <w:rPr>
          <w:rFonts w:hint="eastAsia" w:ascii="仿宋_GB2312" w:hAnsi="仿宋_GB2312" w:eastAsia="仿宋_GB2312" w:cs="仿宋_GB2312"/>
          <w:sz w:val="32"/>
          <w:szCs w:val="32"/>
        </w:rPr>
        <w:t>组织开展活动的具体</w:t>
      </w:r>
      <w:r>
        <w:rPr>
          <w:rFonts w:hint="eastAsia" w:ascii="仿宋_GB2312" w:hAnsi="仿宋_GB2312" w:eastAsia="仿宋_GB2312" w:cs="仿宋_GB2312"/>
          <w:sz w:val="32"/>
          <w:szCs w:val="32"/>
          <w:lang w:eastAsia="zh-CN"/>
        </w:rPr>
        <w:t>实</w:t>
      </w:r>
      <w:r>
        <w:rPr>
          <w:rFonts w:hint="eastAsia" w:ascii="仿宋_GB2312" w:hAnsi="仿宋_GB2312" w:eastAsia="仿宋_GB2312" w:cs="仿宋_GB2312"/>
          <w:sz w:val="32"/>
          <w:szCs w:val="32"/>
        </w:rPr>
        <w:t>施</w:t>
      </w:r>
      <w:r>
        <w:rPr>
          <w:rFonts w:hint="eastAsia" w:ascii="仿宋_GB2312" w:hAnsi="仿宋_GB2312" w:eastAsia="仿宋_GB2312" w:cs="仿宋_GB2312"/>
          <w:sz w:val="32"/>
          <w:szCs w:val="32"/>
          <w:lang w:eastAsia="zh-CN"/>
        </w:rPr>
        <w:t>，对各村、有关部门活动进行指导；研究、协调和解决“安全生产月”活动期间的有关重大问题。</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、时间安排</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年“安全生产月”活动将于6月1日至30日在全</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范围内统一开展。</w:t>
      </w:r>
    </w:p>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10" w:leftChars="0" w:firstLine="64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落实“一二八”工作要点，确保行动如期开展</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（一）紧扣“一个专题”，进一步深入学习贯彻</w:t>
      </w:r>
      <w:r>
        <w:rPr>
          <w:rFonts w:hint="eastAsia" w:ascii="黑体" w:hAnsi="黑体" w:eastAsia="黑体" w:cs="黑体"/>
          <w:b w:val="0"/>
          <w:bCs w:val="0"/>
          <w:color w:val="000000" w:themeColor="text1"/>
          <w:sz w:val="32"/>
          <w:szCs w:val="32"/>
          <w:lang w:val="en-US" w:eastAsia="zh-CN"/>
          <w14:textFill>
            <w14:solidFill>
              <w14:schemeClr w14:val="tx1"/>
            </w14:solidFill>
          </w14:textFill>
        </w:rPr>
        <w:t>习近平总书记关于安全生产重要论述</w:t>
      </w:r>
    </w:p>
    <w:p>
      <w:pPr>
        <w:pStyle w:val="15"/>
        <w:numPr>
          <w:ilvl w:val="0"/>
          <w:numId w:val="0"/>
        </w:numPr>
        <w:tabs>
          <w:tab w:val="left" w:pos="1049"/>
        </w:tabs>
        <w:ind w:firstLine="643"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1.强化理论武装。</w:t>
      </w:r>
      <w:r>
        <w:rPr>
          <w:rFonts w:hint="eastAsia" w:ascii="仿宋_GB2312" w:hAnsi="仿宋_GB2312" w:eastAsia="仿宋_GB2312" w:cs="仿宋_GB2312"/>
          <w:color w:val="000000" w:themeColor="text1"/>
          <w:sz w:val="32"/>
          <w:szCs w:val="32"/>
          <w14:textFill>
            <w14:solidFill>
              <w14:schemeClr w14:val="tx1"/>
            </w14:solidFill>
          </w14:textFill>
        </w:rPr>
        <w:t>各级</w:t>
      </w:r>
      <w:r>
        <w:rPr>
          <w:rFonts w:hint="eastAsia" w:ascii="仿宋_GB2312" w:hAnsi="仿宋_GB2312" w:eastAsia="仿宋_GB2312" w:cs="仿宋_GB2312"/>
          <w:color w:val="000000" w:themeColor="text1"/>
          <w:sz w:val="32"/>
          <w:szCs w:val="32"/>
          <w:lang w:eastAsia="zh-CN"/>
          <w14:textFill>
            <w14:solidFill>
              <w14:schemeClr w14:val="tx1"/>
            </w14:solidFill>
          </w14:textFill>
        </w:rPr>
        <w:t>支部、村委、各单位要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持续深入学习贯彻习近平总书记关于安全生产重要论述，集中学习《生命重于泰山》电视专题片，通过专题研讨、集中宣讲、培训辅导等多种形式，推动向企业单位延伸，推动专题片学习全覆盖，加强学习成果转化运用，切实统筹安全和发展。</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2.开展专题宣讲。</w:t>
      </w:r>
      <w:r>
        <w:rPr>
          <w:rFonts w:hint="eastAsia" w:ascii="仿宋_GB2312" w:hAnsi="仿宋_GB2312" w:eastAsia="仿宋_GB2312" w:cs="仿宋_GB2312"/>
          <w:color w:val="000000" w:themeColor="text1"/>
          <w:sz w:val="32"/>
          <w:szCs w:val="32"/>
          <w:lang w:eastAsia="zh-CN"/>
          <w14:textFill>
            <w14:solidFill>
              <w14:schemeClr w14:val="tx1"/>
            </w14:solidFill>
          </w14:textFill>
        </w:rPr>
        <w:t>认真组织宣传、宣讲、学习宣传、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学习贯彻习近平总书记关于安全生产重要论述、各支部村委关于安全生产工作的系列决策部署、</w:t>
      </w:r>
      <w:r>
        <w:rPr>
          <w:rFonts w:hint="eastAsia" w:ascii="仿宋_GB2312" w:hAnsi="仿宋_GB2312" w:eastAsia="仿宋_GB2312" w:cs="仿宋_GB2312"/>
          <w:color w:val="000000" w:themeColor="text1"/>
          <w:sz w:val="32"/>
          <w:szCs w:val="32"/>
          <w:lang w:eastAsia="zh-CN"/>
          <w14:textFill>
            <w14:solidFill>
              <w14:schemeClr w14:val="tx1"/>
            </w14:solidFill>
          </w14:textFill>
        </w:rPr>
        <w:t>安全生产“十五条”硬措施、长治市人民政府〔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13号文件等，</w:t>
      </w:r>
      <w:r>
        <w:rPr>
          <w:rFonts w:hint="eastAsia" w:ascii="仿宋_GB2312" w:hAnsi="仿宋_GB2312" w:eastAsia="仿宋_GB2312" w:cs="仿宋_GB2312"/>
          <w:color w:val="000000" w:themeColor="text1"/>
          <w:sz w:val="32"/>
          <w:szCs w:val="32"/>
          <w:lang w:eastAsia="zh-CN"/>
          <w14:textFill>
            <w14:solidFill>
              <w14:schemeClr w14:val="tx1"/>
            </w14:solidFill>
          </w14:textFill>
        </w:rPr>
        <w:t>通过开展党政“一把手”带头讲、企业第一责任人专题讲、一线工作者互动讲，开展安全生产“公开课”“大家谈”“班组会”等学习活动，深刻领会重要意义，把握突出特点、部署安排和具体要求，要结合专项整治、安全生产大检查等工作，建立安全生产宣讲长效机制，深入推动学习宣传贯彻习近平总书记关于安全生产重要论述和安全生产“十五条”硬措施落地生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黑体" w:hAnsi="黑体" w:eastAsia="黑体" w:cs="黑体"/>
          <w:b w:val="0"/>
          <w:bCs w:val="0"/>
          <w:color w:val="000000" w:themeColor="text1"/>
          <w:sz w:val="30"/>
          <w:szCs w:val="30"/>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w:t>
      </w:r>
      <w:r>
        <w:rPr>
          <w:rFonts w:hint="eastAsia" w:ascii="黑体" w:hAnsi="黑体" w:eastAsia="黑体" w:cs="黑体"/>
          <w:b w:val="0"/>
          <w:bCs w:val="0"/>
          <w:color w:val="000000" w:themeColor="text1"/>
          <w:sz w:val="32"/>
          <w:szCs w:val="32"/>
          <w:lang w:eastAsia="zh-CN"/>
          <w14:textFill>
            <w14:solidFill>
              <w14:schemeClr w14:val="tx1"/>
            </w14:solidFill>
          </w14:textFill>
        </w:rPr>
        <w:t>二</w:t>
      </w:r>
      <w:r>
        <w:rPr>
          <w:rFonts w:hint="eastAsia" w:ascii="黑体" w:hAnsi="黑体" w:eastAsia="黑体" w:cs="黑体"/>
          <w:b w:val="0"/>
          <w:bCs w:val="0"/>
          <w:color w:val="000000" w:themeColor="text1"/>
          <w:sz w:val="32"/>
          <w:szCs w:val="32"/>
          <w14:textFill>
            <w14:solidFill>
              <w14:schemeClr w14:val="tx1"/>
            </w14:solidFill>
          </w14:textFill>
        </w:rPr>
        <w:t>)</w:t>
      </w:r>
      <w:r>
        <w:rPr>
          <w:rFonts w:hint="eastAsia" w:ascii="黑体" w:hAnsi="黑体" w:eastAsia="黑体" w:cs="黑体"/>
          <w:b w:val="0"/>
          <w:bCs w:val="0"/>
          <w:color w:val="000000" w:themeColor="text1"/>
          <w:sz w:val="32"/>
          <w:szCs w:val="32"/>
          <w:lang w:eastAsia="zh-CN"/>
          <w14:textFill>
            <w14:solidFill>
              <w14:schemeClr w14:val="tx1"/>
            </w14:solidFill>
          </w14:textFill>
        </w:rPr>
        <w:t>抓实“两个重点”</w:t>
      </w:r>
      <w:r>
        <w:rPr>
          <w:rFonts w:hint="eastAsia" w:ascii="黑体" w:hAnsi="黑体" w:eastAsia="黑体" w:cs="黑体"/>
          <w:b w:val="0"/>
          <w:bCs w:val="0"/>
          <w:color w:val="000000" w:themeColor="text1"/>
          <w:sz w:val="32"/>
          <w:szCs w:val="32"/>
          <w14:textFill>
            <w14:solidFill>
              <w14:schemeClr w14:val="tx1"/>
            </w14:solidFill>
          </w14:textFill>
        </w:rPr>
        <w:t>，推动</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14:textFill>
            <w14:solidFill>
              <w14:schemeClr w14:val="tx1"/>
            </w14:solidFill>
          </w14:textFill>
        </w:rPr>
        <w:t>第一责任人</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14:textFill>
            <w14:solidFill>
              <w14:schemeClr w14:val="tx1"/>
            </w14:solidFill>
          </w14:textFill>
        </w:rPr>
        <w:t>守法履责</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1.深入宣传贯彻《安全生产法》。</w:t>
      </w:r>
      <w:r>
        <w:rPr>
          <w:rFonts w:hint="eastAsia" w:ascii="仿宋_GB2312" w:hAnsi="仿宋_GB2312" w:eastAsia="仿宋_GB2312" w:cs="仿宋_GB2312"/>
          <w:sz w:val="32"/>
          <w:szCs w:val="32"/>
          <w:lang w:val="en-US" w:eastAsia="zh-CN"/>
        </w:rPr>
        <w:t>各村、各部门和企事业单位要深入宣传贯彻《安全生产法》，集中组织安全生产公开承诺、以案释法教育活动，督促企业法定代表人、实际控制人、实际负责人严格履行《安全生产法》规定的7项职责和《山西省生产经营单位负责人关于安全生产责任制规定》的职责。持续深化精准执法，紧盯“第一责任人”履职情况，从严查处违法违规行为并公开曝光，形成高压震慑，倒逼责任落实。创新开展主题征文、知识竞赛、案例交流等系列活动，学深悟透《安全生产法》精神实质、内容要义。广泛开展“我是安全吹哨人”、“查找身边的隐患”等活动，调动职工参与监督企业和主要负责人落实安全生产责任的主动性和自觉性。</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2.扎实推进“十五条”硬措施宣传贯彻。</w:t>
      </w:r>
      <w:r>
        <w:rPr>
          <w:rFonts w:hint="eastAsia" w:ascii="仿宋_GB2312" w:hAnsi="仿宋_GB2312" w:eastAsia="仿宋_GB2312" w:cs="仿宋_GB2312"/>
          <w:sz w:val="32"/>
          <w:szCs w:val="32"/>
          <w:lang w:val="en-US" w:eastAsia="zh-CN"/>
        </w:rPr>
        <w:t>紧扣国务院安委会安全生产“十五条”硬措施、上党区安委会五十八项细则，通过安全生产“公开课”、“大家谈”、“班组会”等学习活动，组织“第一责任人”专题讲、专家入企深入讲、一线员工互动讲，推动企业深刻领会“十五条”硬措施的重要意义、突出特点、部署安排、具体要求。紧盯事故频发多发、风险等级较高、容易漏管失控的重点区域、重要环节，督促企业全面深入细致排查整治风险隐患，对重大风险隐患建立台账清单，做到整改责任、措施、资金、时限、预案“五落实”。强化“十五条”硬措施落实，织密织牢党政领导和部门监管责任体系，压紧压实企业安全生产主体责任。</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（三）开展“八大活动”，增强公众安全防范意识</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1.开展“安全宣传咨询日”“大宣传”活动。</w:t>
      </w:r>
      <w:r>
        <w:rPr>
          <w:rFonts w:hint="eastAsia" w:ascii="仿宋_GB2312" w:hAnsi="仿宋_GB2312" w:eastAsia="仿宋_GB2312" w:cs="仿宋_GB2312"/>
          <w:sz w:val="32"/>
          <w:szCs w:val="32"/>
          <w:lang w:val="en-US" w:eastAsia="zh-CN"/>
        </w:rPr>
        <w:t>6月16日，各村和各有关部门要结合辖区及行业实际，线上线下相结合，创新开展形式多样、群众喜闻乐见的安全宣传咨询活动。各村和各有关部门要提前着手，制作公益广告、宣传海报、短视频、提示语音等应急安全类作品，运用各种传播载体集中推送。邀请有影响力的公众人物、行业专家、媒体人员等，组织开展“主播讲安全”、“主播走一线”、“专家远程会诊”、“征集话题‘美好生活从安全开始”、“《安全生产法》知多少”、“救援技能趣味测试”等线上活动，在全社会营造“关注安全、关爱生命”的浓厚氛围。</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2.深入开展安全生产大检查大整治大提升行动。</w:t>
      </w:r>
      <w:r>
        <w:rPr>
          <w:rFonts w:hint="eastAsia" w:ascii="仿宋_GB2312" w:hAnsi="仿宋_GB2312" w:eastAsia="仿宋_GB2312" w:cs="仿宋_GB2312"/>
          <w:sz w:val="32"/>
          <w:szCs w:val="32"/>
          <w:lang w:val="en-US" w:eastAsia="zh-CN"/>
        </w:rPr>
        <w:t>各村和各有关部门要认真学习全国、全省和全市安全生产电视电话会议精神，充分认识大检查大整治太提升行动的重大政治意义、现实意义和深远意义，结合长治市上党区人民政府安全生产委员会关于印发《长治市上党区安全生产大检查大整治大提升行动工作方案》的通知（长上政安发</w:t>
      </w:r>
      <w:r>
        <w:rPr>
          <w:rFonts w:hint="eastAsia" w:ascii="宋体" w:hAnsi="宋体" w:eastAsia="宋体" w:cs="宋体"/>
          <w:sz w:val="32"/>
          <w:szCs w:val="32"/>
          <w:lang w:val="en-US" w:eastAsia="zh-CN"/>
        </w:rPr>
        <w:t>〔2022〕</w:t>
      </w:r>
      <w:r>
        <w:rPr>
          <w:rFonts w:hint="eastAsia" w:ascii="仿宋_GB2312" w:hAnsi="仿宋_GB2312" w:eastAsia="仿宋_GB2312" w:cs="仿宋_GB2312"/>
          <w:sz w:val="32"/>
          <w:szCs w:val="32"/>
          <w:lang w:val="en-US" w:eastAsia="zh-CN"/>
        </w:rPr>
        <w:t>3号）要求，制定安全生产大检查大整治大提升行动方案，及时部署推进工作。要坚持问题导向，全面排查、加强督查、严格执法，检查发现的问题要分类整改，及时消除问题隐患。并协调上党融媒体中心广泛宣传,充分报道大检查大整治大提升行动中好的经验做法，曝光负面典型，强化震慑警示和教育引导作用，推动安全生产各项政策措施落地见效和安全生产专项整治三年行动巩固提升。</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3.开展典型事故警示教育片收听收看等各种形式“大警示”活动。</w:t>
      </w:r>
      <w:r>
        <w:rPr>
          <w:rFonts w:hint="eastAsia" w:ascii="仿宋_GB2312" w:hAnsi="仿宋_GB2312" w:eastAsia="仿宋_GB2312" w:cs="仿宋_GB2312"/>
          <w:sz w:val="32"/>
          <w:szCs w:val="32"/>
          <w:lang w:val="en-US" w:eastAsia="zh-CN"/>
        </w:rPr>
        <w:t>围绕安全生产大检查大整治大提升行动，危险化学品、燃气安全“两个集中治理”以及自建房安全专项整治等重点工作，通过观看警示教育片、参观体验馆等多种形式，使全体干部职工在汲取事故教训的同时，深刻认识到安全生产是一条不可逾越的“红线”，进一步牢固树立安全发展理念。并对企业主体责任落实不到位被实行“一案双罚”的执法案例、安全生产行刑衔接的典型案例等，加大公开曝光力度，形成舆论声势。</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4.组织开展安全生产知识进基层“大宣讲”。</w:t>
      </w:r>
      <w:r>
        <w:rPr>
          <w:rFonts w:hint="eastAsia" w:ascii="仿宋_GB2312" w:hAnsi="仿宋_GB2312" w:eastAsia="仿宋_GB2312" w:cs="仿宋_GB2312"/>
          <w:sz w:val="32"/>
          <w:szCs w:val="32"/>
          <w:lang w:val="en-US" w:eastAsia="zh-CN"/>
        </w:rPr>
        <w:t>把习近平总书记关于安全生产重要论述、《安全生产法》、“从郑州7·20特大暴雨看突发灾害事件应急处置”、安全生产“十五条”硬措施等作为重点宣讲内容，范围包括各村、各站所，精神文明村，示范中小学，煤炭、危化、非煤、工贸行业重点单位等。</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5.开展全员实战应急预案的“大演练”。</w:t>
      </w:r>
      <w:r>
        <w:rPr>
          <w:rFonts w:hint="eastAsia" w:ascii="仿宋_GB2312" w:hAnsi="仿宋_GB2312" w:eastAsia="仿宋_GB2312" w:cs="仿宋_GB2312"/>
          <w:sz w:val="32"/>
          <w:szCs w:val="32"/>
          <w:lang w:val="en-US" w:eastAsia="zh-CN"/>
        </w:rPr>
        <w:t>各村、各行业、各企业要根据行业领域和潜在的各类风险隐患，组织开展专项、综合应急预案演练，以及多部门、多层级参与的联合应急演练，修订完善应急预案；各类企业特别是煤矿、非煤、危化等企业，要认真排查梳理自身重大安全风险，广泛开展现场处置和重点岗位应急处置方案演练活动，重点对车间班组一线员工进行操作式、实战化的初期应急处置演练，切实增强突发事件应急处置能力。</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6.开展领导干部、安全管理人员、企业管理人员和从业人员安全生产知识“大培训”。</w:t>
      </w:r>
      <w:r>
        <w:rPr>
          <w:rFonts w:hint="eastAsia" w:ascii="仿宋_GB2312" w:hAnsi="仿宋_GB2312" w:eastAsia="仿宋_GB2312" w:cs="仿宋_GB2312"/>
          <w:sz w:val="32"/>
          <w:szCs w:val="32"/>
          <w:lang w:val="en-US" w:eastAsia="zh-CN"/>
        </w:rPr>
        <w:t>通过安委会（扩大）会议、各类安全专题会议及专业性安全会议，以习近平总书记关于应急管理和安全生产系列重要论述、中央和省市对应急管理和安全生产的法律法规、政策文件、决策部署为重点，开展安全生产教育培训；生产经营企业通过以“每班一问、每周一题、每旬一练、每季一考”的形式，让员工</w:t>
      </w:r>
      <w:bookmarkStart w:id="0" w:name="_GoBack"/>
      <w:bookmarkEnd w:id="0"/>
      <w:r>
        <w:rPr>
          <w:rFonts w:hint="eastAsia" w:ascii="仿宋_GB2312" w:hAnsi="仿宋_GB2312" w:eastAsia="仿宋_GB2312" w:cs="仿宋_GB2312"/>
          <w:sz w:val="32"/>
          <w:szCs w:val="32"/>
          <w:lang w:val="en-US" w:eastAsia="zh-CN"/>
        </w:rPr>
        <w:t>的安全生产意识既得到激励又得到提高，帮助企业管理者树立“安全是最大的经济效益”、“培训不到位就是最大的安全隐患”等理念，推动企业全员落实安全知识应知必知、安全技能应会必会。</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7.组织有关单位专家团队深入企业开展安全生产“大服务”。</w:t>
      </w:r>
      <w:r>
        <w:rPr>
          <w:rFonts w:hint="eastAsia" w:ascii="仿宋_GB2312" w:hAnsi="仿宋_GB2312" w:eastAsia="仿宋_GB2312" w:cs="仿宋_GB2312"/>
          <w:sz w:val="32"/>
          <w:szCs w:val="32"/>
          <w:lang w:val="en-US" w:eastAsia="zh-CN"/>
        </w:rPr>
        <w:t>通过开展专家指导、现场观摩、经验交流等活动，推动各级各部门各企业熟悉国家安全生产标准、流程和各项规定，进一步树牢安全发展理念，压紧压实安全生产责任，深入排查安全风险隐患，扎实推进问题整改，面对面学习、手把手传导，共同提升安全管理水平，坚决遏制重特大事故发生，切实维护人民群众生命财产安全。</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8.开展上下联动、部门联动、政企联动的“大宣传”。</w:t>
      </w:r>
      <w:r>
        <w:rPr>
          <w:rFonts w:hint="eastAsia" w:ascii="仿宋_GB2312" w:hAnsi="仿宋_GB2312" w:eastAsia="仿宋_GB2312" w:cs="仿宋_GB2312"/>
          <w:sz w:val="32"/>
          <w:szCs w:val="32"/>
          <w:lang w:val="en-US" w:eastAsia="zh-CN"/>
        </w:rPr>
        <w:t>镇政府要发挥牵头抓总作用，推动各成员单位协调联动，结合精神文明创建、社会治安综合治理等工作，组织安全监管人员、消防救援人员、灾害信息员、社区网格员积极参与“进门入户送安全”、“安全志愿者在行动”等活动。工会、共青团、妇联等单位，要通过开展“安康杯”竞赛等特色活动，夺实安全生产群众基础。深入开展应急管理“执法之星”和“优秀案例”评选活动，广泛开展安全宣传“五进”活动，报送推广“五进”工作典型经验，在全社会营造“关爱生命、关注安全”的浓厚氛围。</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五、强化四项保障措施，确保活动取得实效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rPr>
        <w:t>（一）提高认识，加强组织指导。</w:t>
      </w:r>
      <w:r>
        <w:rPr>
          <w:rFonts w:hint="eastAsia" w:ascii="仿宋_GB2312" w:hAnsi="仿宋_GB2312" w:eastAsia="仿宋_GB2312" w:cs="仿宋_GB2312"/>
          <w:sz w:val="32"/>
          <w:szCs w:val="32"/>
        </w:rPr>
        <w:t>“安全生产月”活动作为一项重要的安全生产宣传教育活动，对于深入学习宣传贯彻习近平总书记关于安全生产的重要论述精神，宣传贯彻安全生产重大决策部署和相关法律法规，普及安全知识、提升安全素质、营造安全氛围具有十分重要的</w:t>
      </w:r>
      <w:r>
        <w:rPr>
          <w:rFonts w:hint="eastAsia" w:ascii="仿宋_GB2312" w:hAnsi="仿宋_GB2312" w:eastAsia="仿宋_GB2312" w:cs="仿宋_GB2312"/>
          <w:sz w:val="32"/>
          <w:szCs w:val="32"/>
          <w:lang w:eastAsia="zh-CN"/>
        </w:rPr>
        <w:t>意义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各村</w:t>
      </w:r>
      <w:r>
        <w:rPr>
          <w:rFonts w:hint="eastAsia" w:ascii="仿宋_GB2312" w:hAnsi="仿宋_GB2312" w:eastAsia="仿宋_GB2312" w:cs="仿宋_GB2312"/>
          <w:sz w:val="32"/>
          <w:szCs w:val="32"/>
        </w:rPr>
        <w:t>、各部门和各单位要高度重视，切实把“安全生产月”活动摆上重要位置，及时研究部署，</w:t>
      </w:r>
      <w:r>
        <w:rPr>
          <w:rFonts w:hint="eastAsia" w:ascii="仿宋_GB2312" w:hAnsi="仿宋_GB2312" w:eastAsia="仿宋_GB2312" w:cs="仿宋_GB2312"/>
          <w:sz w:val="32"/>
          <w:szCs w:val="32"/>
          <w:lang w:eastAsia="zh-CN"/>
        </w:rPr>
        <w:t>健全工作机制，加强投入保障，科学组织实施。要把“安全生产月”活动纳入安全生产年度考核内容，加大督促检查力度。要在严格落实疫情防控措施前提下，统筹推动“安全生产月”各项活动的顺利开展。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（二）搞好统筹，确保活动实效。</w:t>
      </w:r>
      <w:r>
        <w:rPr>
          <w:rFonts w:hint="eastAsia" w:ascii="仿宋_GB2312" w:hAnsi="仿宋_GB2312" w:eastAsia="仿宋_GB2312" w:cs="仿宋_GB2312"/>
          <w:sz w:val="32"/>
          <w:szCs w:val="32"/>
        </w:rPr>
        <w:t>要做好“安全生产月”相关活动的统筹工作，做到与各方面业务工作和阶段性重点工作同谋划、同部署、同检查、同落实。要加强活动组织实施的整体协调联动，调动各方面参与的积极性，做好人力、物力和相关经费等保障，确保活动有力、有序、有效开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（三）强化宣传，营造浓厚氛围。</w:t>
      </w:r>
      <w:r>
        <w:rPr>
          <w:rFonts w:hint="eastAsia" w:ascii="仿宋_GB2312" w:hAnsi="仿宋_GB2312" w:eastAsia="仿宋_GB2312" w:cs="仿宋_GB2312"/>
          <w:sz w:val="32"/>
          <w:szCs w:val="32"/>
          <w:lang w:eastAsia="zh-CN"/>
        </w:rPr>
        <w:t>各村、各站所</w:t>
      </w:r>
      <w:r>
        <w:rPr>
          <w:rFonts w:hint="eastAsia" w:ascii="仿宋_GB2312" w:hAnsi="仿宋_GB2312" w:eastAsia="仿宋_GB2312" w:cs="仿宋_GB2312"/>
          <w:sz w:val="32"/>
          <w:szCs w:val="32"/>
        </w:rPr>
        <w:t>要</w:t>
      </w:r>
      <w:r>
        <w:rPr>
          <w:rFonts w:hint="eastAsia" w:ascii="仿宋_GB2312" w:hAnsi="仿宋_GB2312" w:eastAsia="仿宋_GB2312" w:cs="仿宋_GB2312"/>
          <w:sz w:val="32"/>
          <w:szCs w:val="32"/>
          <w:lang w:eastAsia="zh-CN"/>
        </w:rPr>
        <w:t>通过召开动员会、专题会等形式，广泛深入动员。要</w:t>
      </w:r>
      <w:r>
        <w:rPr>
          <w:rFonts w:hint="eastAsia" w:ascii="仿宋_GB2312" w:hAnsi="仿宋_GB2312" w:eastAsia="仿宋_GB2312" w:cs="仿宋_GB2312"/>
          <w:sz w:val="32"/>
          <w:szCs w:val="32"/>
        </w:rPr>
        <w:t>充分发挥新闻媒体作用，紧紧围绕活动主题和重点内容，推出形式多样、内容丰富的宣传报道，要充分运用电视、电台、报纸、展板、标语和网站、微信、微博、抖音等新媒体优势，在全社会营造关心安全生产、参与安全发展的浓厚舆论氛围。</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（四）严格考核，强化责任落实。</w:t>
      </w:r>
      <w:r>
        <w:rPr>
          <w:rFonts w:hint="eastAsia" w:ascii="仿宋_GB2312" w:hAnsi="仿宋_GB2312" w:eastAsia="仿宋_GB2312" w:cs="仿宋_GB2312"/>
          <w:sz w:val="32"/>
          <w:szCs w:val="32"/>
          <w:lang w:eastAsia="zh-CN"/>
        </w:rPr>
        <w:t>各村</w:t>
      </w:r>
      <w:r>
        <w:rPr>
          <w:rFonts w:hint="eastAsia" w:ascii="仿宋_GB2312" w:hAnsi="仿宋_GB2312" w:eastAsia="仿宋_GB2312" w:cs="仿宋_GB2312"/>
          <w:sz w:val="32"/>
          <w:szCs w:val="32"/>
        </w:rPr>
        <w:t>、部门和各有关单位接此通知后，</w:t>
      </w:r>
      <w:r>
        <w:rPr>
          <w:rFonts w:hint="eastAsia" w:ascii="仿宋_GB2312" w:hAnsi="仿宋_GB2312" w:eastAsia="仿宋_GB2312" w:cs="仿宋_GB2312"/>
          <w:sz w:val="32"/>
          <w:szCs w:val="32"/>
          <w:lang w:eastAsia="zh-CN"/>
        </w:rPr>
        <w:t>要立即召开专题会议，制定活动方案，认真安排部署，并将通知精神传达至辖区生产经营单位，将</w:t>
      </w:r>
      <w:r>
        <w:rPr>
          <w:rFonts w:hint="eastAsia" w:ascii="仿宋_GB2312" w:hAnsi="仿宋_GB2312" w:eastAsia="仿宋_GB2312" w:cs="仿宋_GB2312"/>
          <w:sz w:val="32"/>
          <w:szCs w:val="32"/>
        </w:rPr>
        <w:t>“安全生产月”活动各项工作要求落到实处</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做好“安全生产月”活动影音、图片、文字资料收集整理</w:t>
      </w:r>
      <w:r>
        <w:rPr>
          <w:rFonts w:hint="eastAsia" w:ascii="仿宋_GB2312" w:hAnsi="仿宋_GB2312" w:eastAsia="仿宋_GB2312" w:cs="仿宋_GB2312"/>
          <w:sz w:val="32"/>
          <w:szCs w:val="32"/>
          <w:lang w:eastAsia="zh-CN"/>
        </w:rPr>
        <w:t>及工作信息上报工作。</w:t>
      </w:r>
      <w:r>
        <w:rPr>
          <w:rFonts w:hint="eastAsia" w:ascii="仿宋_GB2312" w:hAnsi="仿宋_GB2312" w:eastAsia="仿宋_GB2312" w:cs="仿宋_GB2312"/>
          <w:sz w:val="32"/>
          <w:szCs w:val="32"/>
        </w:rPr>
        <w:t>5月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日前报送1名联络员（附件），5月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日前</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报活动方案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6月份每周</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00前报送周活动开展情况</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相关视频、图片、文字等电子版资料（也可随时报送相关活动信息），重要活动、特色活动</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即时报送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7月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日前报送</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总结。</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各村、各单位</w:t>
      </w:r>
      <w:r>
        <w:rPr>
          <w:rFonts w:hint="eastAsia" w:ascii="仿宋_GB2312" w:hAnsi="仿宋_GB2312" w:eastAsia="仿宋_GB2312" w:cs="仿宋_GB2312"/>
          <w:sz w:val="32"/>
          <w:szCs w:val="32"/>
        </w:rPr>
        <w:t>严格按照“安全生产月”活动内容和</w:t>
      </w:r>
      <w:r>
        <w:rPr>
          <w:rFonts w:hint="eastAsia" w:ascii="仿宋_GB2312" w:hAnsi="仿宋_GB2312" w:eastAsia="仿宋_GB2312" w:cs="仿宋_GB2312"/>
          <w:sz w:val="32"/>
          <w:szCs w:val="32"/>
          <w:lang w:eastAsia="zh-CN"/>
        </w:rPr>
        <w:t>时间节点积极开展。镇</w:t>
      </w:r>
      <w:r>
        <w:rPr>
          <w:rFonts w:hint="eastAsia" w:ascii="仿宋_GB2312" w:hAnsi="仿宋_GB2312" w:eastAsia="仿宋_GB2312" w:cs="仿宋_GB2312"/>
          <w:sz w:val="32"/>
          <w:szCs w:val="32"/>
        </w:rPr>
        <w:t>“安全生产月”活动指导委员会办公室</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适时对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安全生产</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宣传教育活动开展情况进行督导，确保“安全生产月”各项活动取得实效。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人：王芷瑜</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 15234537719</w:t>
      </w:r>
    </w:p>
    <w:p>
      <w:pPr>
        <w:pStyle w:val="15"/>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安全生产月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活动联络人推荐表</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0" w:lineRule="exact"/>
        <w:ind w:firstLine="5446" w:firstLineChars="1702"/>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荫城镇人民政府</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sectPr>
          <w:footerReference r:id="rId4" w:type="default"/>
          <w:pgSz w:w="11906" w:h="16838"/>
          <w:pgMar w:top="1701" w:right="1417" w:bottom="1701" w:left="1417" w:header="851" w:footer="992" w:gutter="0"/>
          <w:pgNumType w:fmt="decimal" w:start="2"/>
          <w:cols w:space="720" w:num="1"/>
          <w:docGrid w:type="lines" w:linePitch="312" w:charSpace="0"/>
        </w:sectPr>
      </w:pPr>
    </w:p>
    <w:p>
      <w:pPr>
        <w:widowControl w:val="0"/>
        <w:wordWrap/>
        <w:adjustRightInd/>
        <w:snapToGrid/>
        <w:spacing w:before="0" w:after="0" w:line="600"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spacing w:line="600" w:lineRule="exact"/>
        <w:jc w:val="center"/>
        <w:rPr>
          <w:rFonts w:hint="eastAsia" w:ascii="方正小标宋简体" w:hAnsi="黑体" w:eastAsia="方正小标宋简体"/>
          <w:color w:val="000000"/>
        </w:rPr>
      </w:pPr>
    </w:p>
    <w:p>
      <w:pPr>
        <w:spacing w:line="600" w:lineRule="exact"/>
        <w:jc w:val="center"/>
        <w:rPr>
          <w:rFonts w:hint="eastAsia" w:ascii="方正小标宋简体" w:hAnsi="华文中宋" w:eastAsia="方正小标宋简体" w:cs="宋体"/>
          <w:bCs/>
          <w:color w:val="000000"/>
          <w:sz w:val="44"/>
          <w:szCs w:val="44"/>
        </w:rPr>
      </w:pPr>
      <w:r>
        <w:rPr>
          <w:rFonts w:hint="eastAsia" w:ascii="黑体" w:hAnsi="黑体" w:eastAsia="黑体" w:cs="黑体"/>
          <w:bCs/>
          <w:color w:val="000000"/>
          <w:sz w:val="44"/>
          <w:szCs w:val="44"/>
          <w:lang w:eastAsia="zh-CN"/>
        </w:rPr>
        <w:t>荫城镇</w:t>
      </w:r>
      <w:r>
        <w:rPr>
          <w:rFonts w:hint="eastAsia" w:ascii="黑体" w:hAnsi="黑体" w:eastAsia="黑体" w:cs="黑体"/>
          <w:bCs/>
          <w:color w:val="000000"/>
          <w:sz w:val="44"/>
          <w:szCs w:val="44"/>
        </w:rPr>
        <w:t>“安全生产月”活动联络员推荐表</w:t>
      </w:r>
    </w:p>
    <w:tbl>
      <w:tblPr>
        <w:tblStyle w:val="8"/>
        <w:tblpPr w:leftFromText="180" w:rightFromText="180" w:vertAnchor="text" w:horzAnchor="page" w:tblpX="1242" w:tblpY="372"/>
        <w:tblOverlap w:val="never"/>
        <w:tblW w:w="13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57"/>
        <w:gridCol w:w="2349"/>
        <w:gridCol w:w="5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512" w:type="dxa"/>
            <w:tcBorders>
              <w:tl2br w:val="nil"/>
              <w:tr2bl w:val="nil"/>
            </w:tcBorders>
            <w:vAlign w:val="center"/>
          </w:tcPr>
          <w:p>
            <w:pPr>
              <w:spacing w:line="540" w:lineRule="exact"/>
              <w:jc w:val="center"/>
              <w:rPr>
                <w:rFonts w:hint="eastAsia" w:ascii="仿宋" w:hAnsi="仿宋" w:cs="宋体"/>
                <w:b/>
                <w:bCs/>
                <w:color w:val="000000"/>
                <w:sz w:val="24"/>
                <w:szCs w:val="24"/>
              </w:rPr>
            </w:pPr>
            <w:r>
              <w:rPr>
                <w:rFonts w:hint="eastAsia" w:ascii="仿宋" w:hAnsi="仿宋" w:cs="宋体"/>
                <w:b/>
                <w:bCs/>
                <w:color w:val="000000"/>
                <w:sz w:val="24"/>
                <w:szCs w:val="24"/>
                <w:lang w:eastAsia="zh-CN"/>
              </w:rPr>
              <w:t>村（</w:t>
            </w:r>
            <w:r>
              <w:rPr>
                <w:rFonts w:hint="eastAsia" w:ascii="仿宋" w:hAnsi="仿宋" w:cs="宋体"/>
                <w:b/>
                <w:bCs/>
                <w:color w:val="000000"/>
                <w:sz w:val="24"/>
                <w:szCs w:val="24"/>
              </w:rPr>
              <w:t>单位</w:t>
            </w:r>
            <w:r>
              <w:rPr>
                <w:rFonts w:hint="eastAsia" w:ascii="仿宋" w:hAnsi="仿宋" w:cs="宋体"/>
                <w:b/>
                <w:bCs/>
                <w:color w:val="000000"/>
                <w:sz w:val="24"/>
                <w:szCs w:val="24"/>
                <w:lang w:eastAsia="zh-CN"/>
              </w:rPr>
              <w:t>）</w:t>
            </w:r>
            <w:r>
              <w:rPr>
                <w:rFonts w:hint="eastAsia" w:ascii="仿宋" w:hAnsi="仿宋" w:cs="宋体"/>
                <w:b/>
                <w:bCs/>
                <w:color w:val="000000"/>
                <w:sz w:val="24"/>
                <w:szCs w:val="24"/>
              </w:rPr>
              <w:t>名称</w:t>
            </w:r>
          </w:p>
        </w:tc>
        <w:tc>
          <w:tcPr>
            <w:tcW w:w="11447" w:type="dxa"/>
            <w:gridSpan w:val="3"/>
            <w:tcBorders>
              <w:tl2br w:val="nil"/>
              <w:tr2bl w:val="nil"/>
            </w:tcBorders>
            <w:vAlign w:val="center"/>
          </w:tcPr>
          <w:p>
            <w:pPr>
              <w:spacing w:line="540" w:lineRule="exact"/>
              <w:jc w:val="center"/>
              <w:rPr>
                <w:rFonts w:ascii="仿宋" w:hAnsi="仿宋" w:cs="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512" w:type="dxa"/>
            <w:tcBorders>
              <w:tl2br w:val="nil"/>
              <w:tr2bl w:val="nil"/>
            </w:tcBorders>
            <w:vAlign w:val="center"/>
          </w:tcPr>
          <w:p>
            <w:pPr>
              <w:spacing w:line="540" w:lineRule="exact"/>
              <w:jc w:val="center"/>
              <w:rPr>
                <w:rFonts w:ascii="仿宋" w:hAnsi="仿宋" w:cs="宋体"/>
                <w:b/>
                <w:bCs/>
                <w:color w:val="000000"/>
                <w:sz w:val="24"/>
                <w:szCs w:val="24"/>
              </w:rPr>
            </w:pPr>
            <w:r>
              <w:rPr>
                <w:rFonts w:hint="eastAsia" w:ascii="仿宋" w:hAnsi="仿宋" w:cs="宋体"/>
                <w:b/>
                <w:bCs/>
                <w:color w:val="000000"/>
                <w:sz w:val="24"/>
                <w:szCs w:val="24"/>
              </w:rPr>
              <w:t>姓名</w:t>
            </w:r>
          </w:p>
        </w:tc>
        <w:tc>
          <w:tcPr>
            <w:tcW w:w="3157" w:type="dxa"/>
            <w:tcBorders>
              <w:tl2br w:val="nil"/>
              <w:tr2bl w:val="nil"/>
            </w:tcBorders>
            <w:vAlign w:val="center"/>
          </w:tcPr>
          <w:p>
            <w:pPr>
              <w:spacing w:line="540" w:lineRule="exact"/>
              <w:jc w:val="center"/>
              <w:rPr>
                <w:rFonts w:ascii="仿宋" w:hAnsi="仿宋" w:cs="宋体"/>
                <w:b/>
                <w:bCs/>
                <w:color w:val="000000"/>
                <w:sz w:val="24"/>
                <w:szCs w:val="24"/>
              </w:rPr>
            </w:pPr>
          </w:p>
        </w:tc>
        <w:tc>
          <w:tcPr>
            <w:tcW w:w="2349" w:type="dxa"/>
            <w:tcBorders>
              <w:tl2br w:val="nil"/>
              <w:tr2bl w:val="nil"/>
            </w:tcBorders>
            <w:vAlign w:val="center"/>
          </w:tcPr>
          <w:p>
            <w:pPr>
              <w:spacing w:line="540" w:lineRule="exact"/>
              <w:jc w:val="center"/>
              <w:rPr>
                <w:rFonts w:hint="eastAsia" w:ascii="仿宋" w:hAnsi="仿宋" w:eastAsia="宋体" w:cs="宋体"/>
                <w:b/>
                <w:bCs/>
                <w:color w:val="000000"/>
                <w:sz w:val="24"/>
                <w:szCs w:val="24"/>
                <w:lang w:eastAsia="zh-CN"/>
              </w:rPr>
            </w:pPr>
            <w:r>
              <w:rPr>
                <w:rFonts w:hint="eastAsia" w:ascii="仿宋" w:hAnsi="仿宋" w:cs="宋体"/>
                <w:b/>
                <w:bCs/>
                <w:color w:val="000000"/>
                <w:sz w:val="24"/>
                <w:szCs w:val="24"/>
                <w:lang w:eastAsia="zh-CN"/>
              </w:rPr>
              <w:t>职务</w:t>
            </w:r>
          </w:p>
        </w:tc>
        <w:tc>
          <w:tcPr>
            <w:tcW w:w="5941" w:type="dxa"/>
            <w:tcBorders>
              <w:tl2br w:val="nil"/>
              <w:tr2bl w:val="nil"/>
            </w:tcBorders>
            <w:vAlign w:val="center"/>
          </w:tcPr>
          <w:p>
            <w:pPr>
              <w:spacing w:line="540" w:lineRule="exact"/>
              <w:jc w:val="center"/>
              <w:rPr>
                <w:rFonts w:ascii="仿宋" w:hAnsi="仿宋" w:cs="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2512" w:type="dxa"/>
            <w:tcBorders>
              <w:tl2br w:val="nil"/>
              <w:tr2bl w:val="nil"/>
            </w:tcBorders>
            <w:vAlign w:val="center"/>
          </w:tcPr>
          <w:p>
            <w:pPr>
              <w:spacing w:line="540" w:lineRule="exact"/>
              <w:jc w:val="center"/>
              <w:rPr>
                <w:rFonts w:ascii="仿宋" w:hAnsi="仿宋" w:cs="宋体"/>
                <w:b/>
                <w:bCs/>
                <w:color w:val="000000"/>
                <w:sz w:val="24"/>
                <w:szCs w:val="24"/>
              </w:rPr>
            </w:pPr>
            <w:r>
              <w:rPr>
                <w:rFonts w:hint="eastAsia" w:ascii="仿宋" w:hAnsi="仿宋" w:cs="宋体"/>
                <w:b/>
                <w:bCs/>
                <w:color w:val="000000"/>
                <w:sz w:val="24"/>
                <w:szCs w:val="24"/>
              </w:rPr>
              <w:t>办公电话</w:t>
            </w:r>
          </w:p>
        </w:tc>
        <w:tc>
          <w:tcPr>
            <w:tcW w:w="3157" w:type="dxa"/>
            <w:tcBorders>
              <w:tl2br w:val="nil"/>
              <w:tr2bl w:val="nil"/>
            </w:tcBorders>
            <w:vAlign w:val="center"/>
          </w:tcPr>
          <w:p>
            <w:pPr>
              <w:spacing w:line="540" w:lineRule="exact"/>
              <w:jc w:val="center"/>
              <w:rPr>
                <w:rFonts w:ascii="仿宋" w:hAnsi="仿宋" w:cs="宋体"/>
                <w:b/>
                <w:bCs/>
                <w:color w:val="000000"/>
                <w:sz w:val="24"/>
                <w:szCs w:val="24"/>
              </w:rPr>
            </w:pPr>
          </w:p>
        </w:tc>
        <w:tc>
          <w:tcPr>
            <w:tcW w:w="2349" w:type="dxa"/>
            <w:tcBorders>
              <w:tl2br w:val="nil"/>
              <w:tr2bl w:val="nil"/>
            </w:tcBorders>
            <w:vAlign w:val="center"/>
          </w:tcPr>
          <w:p>
            <w:pPr>
              <w:spacing w:line="540" w:lineRule="exact"/>
              <w:jc w:val="center"/>
              <w:rPr>
                <w:rFonts w:ascii="仿宋" w:hAnsi="仿宋" w:cs="宋体"/>
                <w:b/>
                <w:bCs/>
                <w:color w:val="000000"/>
                <w:sz w:val="24"/>
                <w:szCs w:val="24"/>
              </w:rPr>
            </w:pPr>
            <w:r>
              <w:rPr>
                <w:rFonts w:hint="eastAsia" w:ascii="仿宋" w:hAnsi="仿宋" w:cs="宋体"/>
                <w:b/>
                <w:bCs/>
                <w:color w:val="000000"/>
                <w:sz w:val="24"/>
                <w:szCs w:val="24"/>
              </w:rPr>
              <w:t>手机</w:t>
            </w:r>
            <w:r>
              <w:rPr>
                <w:rFonts w:hint="eastAsia" w:ascii="仿宋" w:hAnsi="仿宋" w:cs="宋体"/>
                <w:b/>
                <w:bCs/>
                <w:color w:val="000000"/>
                <w:sz w:val="24"/>
                <w:szCs w:val="24"/>
                <w:lang w:eastAsia="zh-CN"/>
              </w:rPr>
              <w:t>号码</w:t>
            </w:r>
          </w:p>
        </w:tc>
        <w:tc>
          <w:tcPr>
            <w:tcW w:w="5941" w:type="dxa"/>
            <w:tcBorders>
              <w:tl2br w:val="nil"/>
              <w:tr2bl w:val="nil"/>
            </w:tcBorders>
            <w:vAlign w:val="center"/>
          </w:tcPr>
          <w:p>
            <w:pPr>
              <w:spacing w:line="540" w:lineRule="exact"/>
              <w:jc w:val="center"/>
              <w:rPr>
                <w:rFonts w:ascii="仿宋" w:hAnsi="仿宋" w:cs="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512" w:type="dxa"/>
            <w:tcBorders>
              <w:tl2br w:val="nil"/>
              <w:tr2bl w:val="nil"/>
            </w:tcBorders>
            <w:vAlign w:val="center"/>
          </w:tcPr>
          <w:p>
            <w:pPr>
              <w:spacing w:line="540" w:lineRule="exact"/>
              <w:jc w:val="center"/>
              <w:rPr>
                <w:rFonts w:hint="eastAsia" w:ascii="仿宋" w:hAnsi="仿宋" w:eastAsia="宋体" w:cs="宋体"/>
                <w:b/>
                <w:bCs/>
                <w:color w:val="000000"/>
                <w:sz w:val="24"/>
                <w:szCs w:val="24"/>
                <w:lang w:eastAsia="zh-CN"/>
              </w:rPr>
            </w:pPr>
            <w:r>
              <w:rPr>
                <w:rFonts w:hint="eastAsia" w:ascii="仿宋" w:hAnsi="仿宋" w:cs="宋体"/>
                <w:b/>
                <w:bCs/>
                <w:color w:val="000000"/>
                <w:sz w:val="24"/>
                <w:szCs w:val="24"/>
                <w:lang w:eastAsia="zh-CN"/>
              </w:rPr>
              <w:t>备</w:t>
            </w:r>
            <w:r>
              <w:rPr>
                <w:rFonts w:hint="eastAsia" w:ascii="仿宋" w:hAnsi="仿宋" w:cs="宋体"/>
                <w:b/>
                <w:bCs/>
                <w:color w:val="000000"/>
                <w:sz w:val="24"/>
                <w:szCs w:val="24"/>
                <w:lang w:val="en-US" w:eastAsia="zh-CN"/>
              </w:rPr>
              <w:t xml:space="preserve">    </w:t>
            </w:r>
            <w:r>
              <w:rPr>
                <w:rFonts w:hint="eastAsia" w:ascii="仿宋" w:hAnsi="仿宋" w:cs="宋体"/>
                <w:b/>
                <w:bCs/>
                <w:color w:val="000000"/>
                <w:sz w:val="24"/>
                <w:szCs w:val="24"/>
                <w:lang w:eastAsia="zh-CN"/>
              </w:rPr>
              <w:t>注</w:t>
            </w:r>
          </w:p>
        </w:tc>
        <w:tc>
          <w:tcPr>
            <w:tcW w:w="11447" w:type="dxa"/>
            <w:gridSpan w:val="3"/>
            <w:tcBorders>
              <w:tl2br w:val="nil"/>
              <w:tr2bl w:val="nil"/>
            </w:tcBorders>
            <w:vAlign w:val="center"/>
          </w:tcPr>
          <w:p>
            <w:pPr>
              <w:spacing w:line="540" w:lineRule="exact"/>
              <w:jc w:val="center"/>
              <w:rPr>
                <w:rFonts w:ascii="仿宋" w:hAnsi="仿宋" w:cs="宋体"/>
                <w:b/>
                <w:bCs/>
                <w:color w:val="000000"/>
                <w:sz w:val="24"/>
                <w:szCs w:val="24"/>
              </w:rPr>
            </w:pPr>
          </w:p>
        </w:tc>
      </w:tr>
    </w:tbl>
    <w:p>
      <w:pPr>
        <w:pStyle w:val="15"/>
        <w:ind w:left="0" w:leftChars="0" w:firstLine="0" w:firstLineChars="0"/>
        <w:rPr>
          <w:rFonts w:hint="default" w:eastAsia="宋体"/>
          <w:lang w:val="en-US" w:eastAsia="zh-CN"/>
        </w:rPr>
        <w:sectPr>
          <w:footerReference r:id="rId5" w:type="default"/>
          <w:pgSz w:w="16838" w:h="11906" w:orient="landscape"/>
          <w:pgMar w:top="1417" w:right="1701" w:bottom="1417" w:left="1701" w:header="851" w:footer="992" w:gutter="0"/>
          <w:pgNumType w:fmt="decimal" w:start="10"/>
          <w:cols w:space="720" w:num="1"/>
          <w:docGrid w:type="lines" w:linePitch="312" w:charSpace="0"/>
        </w:sectPr>
      </w:pPr>
      <w:r>
        <w:rPr>
          <w:rFonts w:hint="eastAsia" w:ascii="仿宋" w:hAnsi="仿宋"/>
          <w:b/>
          <w:bCs/>
          <w:color w:val="000000"/>
          <w:sz w:val="28"/>
          <w:szCs w:val="28"/>
          <w:lang w:eastAsia="zh-CN"/>
        </w:rPr>
        <w:t>注：请于</w:t>
      </w:r>
      <w:r>
        <w:rPr>
          <w:rFonts w:hint="eastAsia" w:ascii="仿宋" w:hAnsi="仿宋"/>
          <w:b/>
          <w:bCs/>
          <w:color w:val="000000"/>
          <w:sz w:val="28"/>
          <w:szCs w:val="28"/>
          <w:lang w:val="en-US" w:eastAsia="zh-CN"/>
        </w:rPr>
        <w:t>5月31日前报送。</w:t>
      </w:r>
    </w:p>
    <w:p>
      <w:pPr>
        <w:rPr>
          <w:rFonts w:hint="eastAsia"/>
          <w:lang w:val="en-US" w:eastAsia="zh-CN"/>
        </w:rPr>
      </w:pPr>
    </w:p>
    <w:sectPr>
      <w:footerReference r:id="rId6" w:type="default"/>
      <w:pgSz w:w="11906" w:h="16838"/>
      <w:pgMar w:top="1701" w:right="1417" w:bottom="1701" w:left="1417" w:header="851" w:footer="992" w:gutter="0"/>
      <w:pgNumType w:fmt="decimal" w:start="1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uTihM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dEWJ4xYHfvnx/fLz9+XXN7Ks&#10;Xt9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bk4oTLAQAAnAMAAA4AAAAAAAAAAQAgAAAAHgEAAGRycy9lMm9E&#10;b2MueG1sUEsFBgAAAAAGAAYAWQEAAFsFA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Q+hMs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BEoctzjwy/dvlx+/Lj+/kmX1&#10;8lVWqA9QY+JdwNQ0vPVDzp78gM5MfFDR5i9SIhhHfc9XfeWQiMiP1qv1usKQwNh8QRz28DxESO+k&#10;tyQbDY04wKIrP32ANKbOKbma87faGPTz2ri/HIiZPSz3PvaYrTTsh6nxvW/PyKfH2TfU4apTYt47&#10;lDavyWzE2djPxjFEfejKHuV6EN4c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n0PoTLAQAAnAMAAA4AAAAAAAAAAQAgAAAAHgEAAGRycy9lMm9E&#10;b2MueG1sUEsFBgAAAAAGAAYAWQEAAFsFA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FC4E5"/>
    <w:multiLevelType w:val="singleLevel"/>
    <w:tmpl w:val="A98FC4E5"/>
    <w:lvl w:ilvl="0" w:tentative="0">
      <w:start w:val="4"/>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NGJmZTAzNjVkNzhmYmVkYWFlZTNhMWY5ZmJmZjQifQ=="/>
  </w:docVars>
  <w:rsids>
    <w:rsidRoot w:val="00000000"/>
    <w:rsid w:val="00065AB0"/>
    <w:rsid w:val="000C5D7B"/>
    <w:rsid w:val="00256255"/>
    <w:rsid w:val="0029761F"/>
    <w:rsid w:val="0033027B"/>
    <w:rsid w:val="00397061"/>
    <w:rsid w:val="00425C3A"/>
    <w:rsid w:val="004E28E8"/>
    <w:rsid w:val="00574D78"/>
    <w:rsid w:val="00751D2A"/>
    <w:rsid w:val="00833EA8"/>
    <w:rsid w:val="00864EC0"/>
    <w:rsid w:val="008E7D8F"/>
    <w:rsid w:val="0090628B"/>
    <w:rsid w:val="00EA2805"/>
    <w:rsid w:val="010D1AD7"/>
    <w:rsid w:val="014D15F7"/>
    <w:rsid w:val="015B4927"/>
    <w:rsid w:val="015C331B"/>
    <w:rsid w:val="018A5643"/>
    <w:rsid w:val="01A24D2B"/>
    <w:rsid w:val="01AF1BA3"/>
    <w:rsid w:val="01C12548"/>
    <w:rsid w:val="022C14E9"/>
    <w:rsid w:val="023E7DED"/>
    <w:rsid w:val="024F44DA"/>
    <w:rsid w:val="0265635C"/>
    <w:rsid w:val="02821B79"/>
    <w:rsid w:val="02CB2EB2"/>
    <w:rsid w:val="02DE63FD"/>
    <w:rsid w:val="0317373C"/>
    <w:rsid w:val="035B4E38"/>
    <w:rsid w:val="03A1676A"/>
    <w:rsid w:val="03AD6A6B"/>
    <w:rsid w:val="03C97048"/>
    <w:rsid w:val="03CE23EB"/>
    <w:rsid w:val="04042B4D"/>
    <w:rsid w:val="042B0B48"/>
    <w:rsid w:val="04480995"/>
    <w:rsid w:val="04505BF8"/>
    <w:rsid w:val="047D092B"/>
    <w:rsid w:val="04C5213B"/>
    <w:rsid w:val="04D421CE"/>
    <w:rsid w:val="04FB6B73"/>
    <w:rsid w:val="050179AE"/>
    <w:rsid w:val="050D29FE"/>
    <w:rsid w:val="05924282"/>
    <w:rsid w:val="05D55C60"/>
    <w:rsid w:val="05DE0E17"/>
    <w:rsid w:val="0606003C"/>
    <w:rsid w:val="0610594A"/>
    <w:rsid w:val="0688344B"/>
    <w:rsid w:val="06986F76"/>
    <w:rsid w:val="06EE2C63"/>
    <w:rsid w:val="06EF3AEE"/>
    <w:rsid w:val="0715572D"/>
    <w:rsid w:val="07173B99"/>
    <w:rsid w:val="075748FC"/>
    <w:rsid w:val="077E654A"/>
    <w:rsid w:val="07B5363E"/>
    <w:rsid w:val="08457BE7"/>
    <w:rsid w:val="08620E9A"/>
    <w:rsid w:val="08A74E19"/>
    <w:rsid w:val="08AD3047"/>
    <w:rsid w:val="08C975CF"/>
    <w:rsid w:val="08DE756E"/>
    <w:rsid w:val="08EB0F7D"/>
    <w:rsid w:val="090373D2"/>
    <w:rsid w:val="09080AEC"/>
    <w:rsid w:val="09110535"/>
    <w:rsid w:val="09226028"/>
    <w:rsid w:val="09287D4C"/>
    <w:rsid w:val="093015AE"/>
    <w:rsid w:val="094F2BBD"/>
    <w:rsid w:val="096068A6"/>
    <w:rsid w:val="09C2254F"/>
    <w:rsid w:val="09D91F62"/>
    <w:rsid w:val="09E11A76"/>
    <w:rsid w:val="09E605AD"/>
    <w:rsid w:val="09E65E28"/>
    <w:rsid w:val="0A0A2E5E"/>
    <w:rsid w:val="0A300B25"/>
    <w:rsid w:val="0A30518D"/>
    <w:rsid w:val="0A6E1524"/>
    <w:rsid w:val="0A957171"/>
    <w:rsid w:val="0AA60BC8"/>
    <w:rsid w:val="0AA907CF"/>
    <w:rsid w:val="0ADC39EE"/>
    <w:rsid w:val="0B003B0C"/>
    <w:rsid w:val="0B1929D8"/>
    <w:rsid w:val="0B593EE0"/>
    <w:rsid w:val="0B8501AD"/>
    <w:rsid w:val="0BB72C71"/>
    <w:rsid w:val="0BC32E6A"/>
    <w:rsid w:val="0BCA733B"/>
    <w:rsid w:val="0BFF7F76"/>
    <w:rsid w:val="0C095C37"/>
    <w:rsid w:val="0C0E7A8A"/>
    <w:rsid w:val="0C27316C"/>
    <w:rsid w:val="0C2D557F"/>
    <w:rsid w:val="0C3223BC"/>
    <w:rsid w:val="0C330A44"/>
    <w:rsid w:val="0C6A449A"/>
    <w:rsid w:val="0C7365D7"/>
    <w:rsid w:val="0CB823C2"/>
    <w:rsid w:val="0CB834F8"/>
    <w:rsid w:val="0CD05CDB"/>
    <w:rsid w:val="0CF12932"/>
    <w:rsid w:val="0CF844FD"/>
    <w:rsid w:val="0D14630B"/>
    <w:rsid w:val="0D1B733D"/>
    <w:rsid w:val="0D204601"/>
    <w:rsid w:val="0D2757BA"/>
    <w:rsid w:val="0D2E4B8B"/>
    <w:rsid w:val="0D4327A2"/>
    <w:rsid w:val="0D834030"/>
    <w:rsid w:val="0D8744AA"/>
    <w:rsid w:val="0D9921FF"/>
    <w:rsid w:val="0D9D09D2"/>
    <w:rsid w:val="0DF26D1C"/>
    <w:rsid w:val="0E21205C"/>
    <w:rsid w:val="0E7875FD"/>
    <w:rsid w:val="0E8109C4"/>
    <w:rsid w:val="0E892A95"/>
    <w:rsid w:val="0EA02117"/>
    <w:rsid w:val="0EA40E8E"/>
    <w:rsid w:val="0EA87BD3"/>
    <w:rsid w:val="0EC418E7"/>
    <w:rsid w:val="0EE1178A"/>
    <w:rsid w:val="0F1E098B"/>
    <w:rsid w:val="0F3D6AE7"/>
    <w:rsid w:val="0F5378CE"/>
    <w:rsid w:val="0F651994"/>
    <w:rsid w:val="0F752C7F"/>
    <w:rsid w:val="0FB578E7"/>
    <w:rsid w:val="0FC43BC8"/>
    <w:rsid w:val="0FD30423"/>
    <w:rsid w:val="1015501E"/>
    <w:rsid w:val="101D5493"/>
    <w:rsid w:val="10472010"/>
    <w:rsid w:val="1057614F"/>
    <w:rsid w:val="10722638"/>
    <w:rsid w:val="107908D7"/>
    <w:rsid w:val="10895271"/>
    <w:rsid w:val="10896518"/>
    <w:rsid w:val="10A757EF"/>
    <w:rsid w:val="10BA6A3B"/>
    <w:rsid w:val="10E27403"/>
    <w:rsid w:val="11097189"/>
    <w:rsid w:val="11112227"/>
    <w:rsid w:val="113338EA"/>
    <w:rsid w:val="11396AD5"/>
    <w:rsid w:val="1144215C"/>
    <w:rsid w:val="1147016E"/>
    <w:rsid w:val="115063EA"/>
    <w:rsid w:val="115A5615"/>
    <w:rsid w:val="119068E1"/>
    <w:rsid w:val="119D1370"/>
    <w:rsid w:val="11BB5B44"/>
    <w:rsid w:val="11DE5FAB"/>
    <w:rsid w:val="12190E64"/>
    <w:rsid w:val="12312789"/>
    <w:rsid w:val="125E7F40"/>
    <w:rsid w:val="12D4177D"/>
    <w:rsid w:val="12E56C9C"/>
    <w:rsid w:val="12E92903"/>
    <w:rsid w:val="12FA0C78"/>
    <w:rsid w:val="133838B2"/>
    <w:rsid w:val="13741AC1"/>
    <w:rsid w:val="13B242C5"/>
    <w:rsid w:val="13B9591F"/>
    <w:rsid w:val="13DD1BEC"/>
    <w:rsid w:val="13E439FE"/>
    <w:rsid w:val="13E43EB5"/>
    <w:rsid w:val="13F75DBB"/>
    <w:rsid w:val="144F18B3"/>
    <w:rsid w:val="1465573E"/>
    <w:rsid w:val="14676314"/>
    <w:rsid w:val="147F0704"/>
    <w:rsid w:val="150B6F16"/>
    <w:rsid w:val="15283891"/>
    <w:rsid w:val="15592179"/>
    <w:rsid w:val="157068EB"/>
    <w:rsid w:val="15DC1A1B"/>
    <w:rsid w:val="167E007D"/>
    <w:rsid w:val="16BA06E0"/>
    <w:rsid w:val="16E20587"/>
    <w:rsid w:val="16EA3043"/>
    <w:rsid w:val="16F40FAB"/>
    <w:rsid w:val="179A6CAD"/>
    <w:rsid w:val="17A67A92"/>
    <w:rsid w:val="17B508EC"/>
    <w:rsid w:val="17E168B1"/>
    <w:rsid w:val="18486A3D"/>
    <w:rsid w:val="187B74A2"/>
    <w:rsid w:val="1890619F"/>
    <w:rsid w:val="189A4835"/>
    <w:rsid w:val="18C10F3B"/>
    <w:rsid w:val="18E72E4D"/>
    <w:rsid w:val="19011777"/>
    <w:rsid w:val="190E13EC"/>
    <w:rsid w:val="194257CE"/>
    <w:rsid w:val="19724247"/>
    <w:rsid w:val="19F64FC5"/>
    <w:rsid w:val="1A077F8D"/>
    <w:rsid w:val="1A35106C"/>
    <w:rsid w:val="1A5A789A"/>
    <w:rsid w:val="1A62107A"/>
    <w:rsid w:val="1A630CD1"/>
    <w:rsid w:val="1A7C7884"/>
    <w:rsid w:val="1A7F60AB"/>
    <w:rsid w:val="1AB26738"/>
    <w:rsid w:val="1AC83DDD"/>
    <w:rsid w:val="1AEB7DAF"/>
    <w:rsid w:val="1B132B40"/>
    <w:rsid w:val="1B373F23"/>
    <w:rsid w:val="1B6901DC"/>
    <w:rsid w:val="1B6D53A8"/>
    <w:rsid w:val="1BA85CC5"/>
    <w:rsid w:val="1BB90088"/>
    <w:rsid w:val="1BB93999"/>
    <w:rsid w:val="1BDF0C89"/>
    <w:rsid w:val="1BFA7C01"/>
    <w:rsid w:val="1C035455"/>
    <w:rsid w:val="1C42118A"/>
    <w:rsid w:val="1C423CC1"/>
    <w:rsid w:val="1C4717B4"/>
    <w:rsid w:val="1CD112FE"/>
    <w:rsid w:val="1CE220FA"/>
    <w:rsid w:val="1CEF03A2"/>
    <w:rsid w:val="1D3B002D"/>
    <w:rsid w:val="1D617202"/>
    <w:rsid w:val="1D652801"/>
    <w:rsid w:val="1D755EEE"/>
    <w:rsid w:val="1DA50B64"/>
    <w:rsid w:val="1DC429C5"/>
    <w:rsid w:val="1DCC63B3"/>
    <w:rsid w:val="1E3D5BC9"/>
    <w:rsid w:val="1E76693E"/>
    <w:rsid w:val="1E9644A6"/>
    <w:rsid w:val="1EA963B7"/>
    <w:rsid w:val="1ED676FA"/>
    <w:rsid w:val="1ED920CE"/>
    <w:rsid w:val="1EF64AE9"/>
    <w:rsid w:val="1F0A06FD"/>
    <w:rsid w:val="1F153ACA"/>
    <w:rsid w:val="1F441525"/>
    <w:rsid w:val="1F57148C"/>
    <w:rsid w:val="1F6B220B"/>
    <w:rsid w:val="1FE448D2"/>
    <w:rsid w:val="1FF51179"/>
    <w:rsid w:val="202B5717"/>
    <w:rsid w:val="206E512E"/>
    <w:rsid w:val="20A0535D"/>
    <w:rsid w:val="20AC550D"/>
    <w:rsid w:val="20C22323"/>
    <w:rsid w:val="212D443B"/>
    <w:rsid w:val="213142B2"/>
    <w:rsid w:val="21517265"/>
    <w:rsid w:val="21916642"/>
    <w:rsid w:val="21E76F38"/>
    <w:rsid w:val="22092841"/>
    <w:rsid w:val="22627701"/>
    <w:rsid w:val="22741696"/>
    <w:rsid w:val="22AA6A9D"/>
    <w:rsid w:val="22B7534E"/>
    <w:rsid w:val="232402E6"/>
    <w:rsid w:val="23252ABE"/>
    <w:rsid w:val="23636FB9"/>
    <w:rsid w:val="236F21B1"/>
    <w:rsid w:val="23725477"/>
    <w:rsid w:val="237F0D28"/>
    <w:rsid w:val="238E2CE4"/>
    <w:rsid w:val="23B04132"/>
    <w:rsid w:val="23E65CDA"/>
    <w:rsid w:val="241E3848"/>
    <w:rsid w:val="2435266A"/>
    <w:rsid w:val="24531960"/>
    <w:rsid w:val="247940F7"/>
    <w:rsid w:val="24C6355C"/>
    <w:rsid w:val="24E22F74"/>
    <w:rsid w:val="24F67A2A"/>
    <w:rsid w:val="250F477D"/>
    <w:rsid w:val="25252ADA"/>
    <w:rsid w:val="254C0C10"/>
    <w:rsid w:val="254D5DFC"/>
    <w:rsid w:val="25B145B7"/>
    <w:rsid w:val="25BD472C"/>
    <w:rsid w:val="25DD7CB9"/>
    <w:rsid w:val="2604060C"/>
    <w:rsid w:val="26257A41"/>
    <w:rsid w:val="266034BD"/>
    <w:rsid w:val="26802C83"/>
    <w:rsid w:val="26B07C9C"/>
    <w:rsid w:val="26B37CEC"/>
    <w:rsid w:val="26C6270F"/>
    <w:rsid w:val="26CB5754"/>
    <w:rsid w:val="26E64429"/>
    <w:rsid w:val="26F73B95"/>
    <w:rsid w:val="272C2A1A"/>
    <w:rsid w:val="273100B8"/>
    <w:rsid w:val="27353A16"/>
    <w:rsid w:val="274D0A63"/>
    <w:rsid w:val="27623F0C"/>
    <w:rsid w:val="276A79AD"/>
    <w:rsid w:val="277423E6"/>
    <w:rsid w:val="277C7C07"/>
    <w:rsid w:val="2783263B"/>
    <w:rsid w:val="279147DF"/>
    <w:rsid w:val="27DD5A09"/>
    <w:rsid w:val="27E47A57"/>
    <w:rsid w:val="27FC5CBE"/>
    <w:rsid w:val="280D56E2"/>
    <w:rsid w:val="282C7365"/>
    <w:rsid w:val="2874681E"/>
    <w:rsid w:val="28BD14D9"/>
    <w:rsid w:val="296E751B"/>
    <w:rsid w:val="299B4F86"/>
    <w:rsid w:val="29DB2B8F"/>
    <w:rsid w:val="2A287DAE"/>
    <w:rsid w:val="2A461AE0"/>
    <w:rsid w:val="2A640968"/>
    <w:rsid w:val="2A6E3E1A"/>
    <w:rsid w:val="2A7A6423"/>
    <w:rsid w:val="2A881A4B"/>
    <w:rsid w:val="2A9A22D3"/>
    <w:rsid w:val="2AA429F4"/>
    <w:rsid w:val="2AAF0A70"/>
    <w:rsid w:val="2ACE581C"/>
    <w:rsid w:val="2ADE08C5"/>
    <w:rsid w:val="2AEB0B87"/>
    <w:rsid w:val="2AED4A43"/>
    <w:rsid w:val="2AEE4EB3"/>
    <w:rsid w:val="2B1D4293"/>
    <w:rsid w:val="2B261331"/>
    <w:rsid w:val="2B874239"/>
    <w:rsid w:val="2BC72F20"/>
    <w:rsid w:val="2C5F1B45"/>
    <w:rsid w:val="2C7C2CAF"/>
    <w:rsid w:val="2C851D53"/>
    <w:rsid w:val="2C8774FB"/>
    <w:rsid w:val="2C8C3988"/>
    <w:rsid w:val="2C976DFC"/>
    <w:rsid w:val="2CDC78A2"/>
    <w:rsid w:val="2CDF2E73"/>
    <w:rsid w:val="2D0A268C"/>
    <w:rsid w:val="2D6464E8"/>
    <w:rsid w:val="2D7D05AF"/>
    <w:rsid w:val="2D954741"/>
    <w:rsid w:val="2D965098"/>
    <w:rsid w:val="2DB00D53"/>
    <w:rsid w:val="2DCA2B89"/>
    <w:rsid w:val="2DD62D07"/>
    <w:rsid w:val="2DD65E74"/>
    <w:rsid w:val="2DEA01C1"/>
    <w:rsid w:val="2E522569"/>
    <w:rsid w:val="2E857525"/>
    <w:rsid w:val="2EA22C53"/>
    <w:rsid w:val="2EA5329C"/>
    <w:rsid w:val="2EB74EB8"/>
    <w:rsid w:val="2EDE3EFA"/>
    <w:rsid w:val="2F1F4B10"/>
    <w:rsid w:val="2F4E52EF"/>
    <w:rsid w:val="30121807"/>
    <w:rsid w:val="308E6095"/>
    <w:rsid w:val="30AF361A"/>
    <w:rsid w:val="30C102A8"/>
    <w:rsid w:val="30DD6612"/>
    <w:rsid w:val="30E850AB"/>
    <w:rsid w:val="312D3B09"/>
    <w:rsid w:val="31676804"/>
    <w:rsid w:val="321E6046"/>
    <w:rsid w:val="321F7E4B"/>
    <w:rsid w:val="32306638"/>
    <w:rsid w:val="327E5883"/>
    <w:rsid w:val="32854036"/>
    <w:rsid w:val="32FC1ECC"/>
    <w:rsid w:val="3304206E"/>
    <w:rsid w:val="33246489"/>
    <w:rsid w:val="337D005A"/>
    <w:rsid w:val="337D11D6"/>
    <w:rsid w:val="33EB095B"/>
    <w:rsid w:val="346F5AFB"/>
    <w:rsid w:val="34815697"/>
    <w:rsid w:val="348D2014"/>
    <w:rsid w:val="348E788F"/>
    <w:rsid w:val="34BA60C1"/>
    <w:rsid w:val="34E9666C"/>
    <w:rsid w:val="352E5126"/>
    <w:rsid w:val="353B7806"/>
    <w:rsid w:val="357E68DA"/>
    <w:rsid w:val="359F01CE"/>
    <w:rsid w:val="360B49B0"/>
    <w:rsid w:val="361406F7"/>
    <w:rsid w:val="364D30DE"/>
    <w:rsid w:val="36626069"/>
    <w:rsid w:val="36676DF0"/>
    <w:rsid w:val="366B05C9"/>
    <w:rsid w:val="367A6774"/>
    <w:rsid w:val="36815D10"/>
    <w:rsid w:val="369F70E2"/>
    <w:rsid w:val="370B0266"/>
    <w:rsid w:val="37414D34"/>
    <w:rsid w:val="377D14AD"/>
    <w:rsid w:val="379466A2"/>
    <w:rsid w:val="37BC130E"/>
    <w:rsid w:val="37D0345B"/>
    <w:rsid w:val="37D04CCB"/>
    <w:rsid w:val="37D82074"/>
    <w:rsid w:val="37EF3E2C"/>
    <w:rsid w:val="380E372A"/>
    <w:rsid w:val="38255C02"/>
    <w:rsid w:val="38377118"/>
    <w:rsid w:val="383C7940"/>
    <w:rsid w:val="389601E2"/>
    <w:rsid w:val="38AB3EBA"/>
    <w:rsid w:val="38F939A1"/>
    <w:rsid w:val="39062EBD"/>
    <w:rsid w:val="396B35E0"/>
    <w:rsid w:val="398F24C9"/>
    <w:rsid w:val="39E84D39"/>
    <w:rsid w:val="3A016B57"/>
    <w:rsid w:val="3A1A45F2"/>
    <w:rsid w:val="3A1C682B"/>
    <w:rsid w:val="3A2D3EB8"/>
    <w:rsid w:val="3A342C84"/>
    <w:rsid w:val="3A4814FF"/>
    <w:rsid w:val="3A4C20CF"/>
    <w:rsid w:val="3A555239"/>
    <w:rsid w:val="3AA0236D"/>
    <w:rsid w:val="3AA42062"/>
    <w:rsid w:val="3AE2012A"/>
    <w:rsid w:val="3AED54C2"/>
    <w:rsid w:val="3B227D59"/>
    <w:rsid w:val="3B3A68C6"/>
    <w:rsid w:val="3B665A0C"/>
    <w:rsid w:val="3B963A82"/>
    <w:rsid w:val="3B9F45EF"/>
    <w:rsid w:val="3BC47D7F"/>
    <w:rsid w:val="3BCA54E1"/>
    <w:rsid w:val="3BF415FD"/>
    <w:rsid w:val="3C203205"/>
    <w:rsid w:val="3C4E2F0C"/>
    <w:rsid w:val="3CBE69CD"/>
    <w:rsid w:val="3CE25B40"/>
    <w:rsid w:val="3D523AD3"/>
    <w:rsid w:val="3D993061"/>
    <w:rsid w:val="3DAB19A7"/>
    <w:rsid w:val="3DBF2B2B"/>
    <w:rsid w:val="3E085651"/>
    <w:rsid w:val="3E2334F5"/>
    <w:rsid w:val="3E2B2EFA"/>
    <w:rsid w:val="3E527BD3"/>
    <w:rsid w:val="3E8C2B5F"/>
    <w:rsid w:val="3E94422B"/>
    <w:rsid w:val="3EAB2C04"/>
    <w:rsid w:val="3EB4612C"/>
    <w:rsid w:val="3ECD4DB2"/>
    <w:rsid w:val="3F593086"/>
    <w:rsid w:val="3F7D2A47"/>
    <w:rsid w:val="3F7E0FBE"/>
    <w:rsid w:val="3F896D43"/>
    <w:rsid w:val="3F8A3D13"/>
    <w:rsid w:val="3FAE17E0"/>
    <w:rsid w:val="3FDC2E1D"/>
    <w:rsid w:val="3FE03F67"/>
    <w:rsid w:val="400A1BB0"/>
    <w:rsid w:val="407D6DA7"/>
    <w:rsid w:val="407E6857"/>
    <w:rsid w:val="40912350"/>
    <w:rsid w:val="40FB0AC7"/>
    <w:rsid w:val="41057E3D"/>
    <w:rsid w:val="413638A7"/>
    <w:rsid w:val="418B1601"/>
    <w:rsid w:val="41DB3C64"/>
    <w:rsid w:val="41E035F6"/>
    <w:rsid w:val="420A3AFD"/>
    <w:rsid w:val="422F39ED"/>
    <w:rsid w:val="42577CAD"/>
    <w:rsid w:val="426A7C92"/>
    <w:rsid w:val="427777EF"/>
    <w:rsid w:val="428F1E64"/>
    <w:rsid w:val="42926511"/>
    <w:rsid w:val="429A6CC3"/>
    <w:rsid w:val="42AC1B00"/>
    <w:rsid w:val="42CC6750"/>
    <w:rsid w:val="42CD04D5"/>
    <w:rsid w:val="42F04D8D"/>
    <w:rsid w:val="433E7AEC"/>
    <w:rsid w:val="435D4CB3"/>
    <w:rsid w:val="43647DEC"/>
    <w:rsid w:val="437A73D2"/>
    <w:rsid w:val="438A3783"/>
    <w:rsid w:val="438B47E0"/>
    <w:rsid w:val="43C26FF1"/>
    <w:rsid w:val="43F31EB7"/>
    <w:rsid w:val="440450D6"/>
    <w:rsid w:val="44447098"/>
    <w:rsid w:val="44D764A0"/>
    <w:rsid w:val="44E73F38"/>
    <w:rsid w:val="45425BBC"/>
    <w:rsid w:val="45820A94"/>
    <w:rsid w:val="458D538A"/>
    <w:rsid w:val="46034C22"/>
    <w:rsid w:val="462E52C7"/>
    <w:rsid w:val="4637774D"/>
    <w:rsid w:val="465164E8"/>
    <w:rsid w:val="46915B29"/>
    <w:rsid w:val="46C50BFB"/>
    <w:rsid w:val="46F77CAC"/>
    <w:rsid w:val="47171E56"/>
    <w:rsid w:val="474F73E8"/>
    <w:rsid w:val="476C28F9"/>
    <w:rsid w:val="481E559D"/>
    <w:rsid w:val="4823727C"/>
    <w:rsid w:val="48303CF3"/>
    <w:rsid w:val="48A0336E"/>
    <w:rsid w:val="48AA3603"/>
    <w:rsid w:val="48D33E4B"/>
    <w:rsid w:val="48FE474D"/>
    <w:rsid w:val="49363AAE"/>
    <w:rsid w:val="494F6DB0"/>
    <w:rsid w:val="495D1D72"/>
    <w:rsid w:val="49A44D14"/>
    <w:rsid w:val="49A81406"/>
    <w:rsid w:val="49D15AD8"/>
    <w:rsid w:val="4A123801"/>
    <w:rsid w:val="4A2169B7"/>
    <w:rsid w:val="4A7427C7"/>
    <w:rsid w:val="4A8120B9"/>
    <w:rsid w:val="4A940C87"/>
    <w:rsid w:val="4AB77E86"/>
    <w:rsid w:val="4ABF40B6"/>
    <w:rsid w:val="4AF52608"/>
    <w:rsid w:val="4AFA7AEA"/>
    <w:rsid w:val="4B054FB5"/>
    <w:rsid w:val="4B077CEC"/>
    <w:rsid w:val="4B3C63FC"/>
    <w:rsid w:val="4BA9579A"/>
    <w:rsid w:val="4BB70B9E"/>
    <w:rsid w:val="4BBE4329"/>
    <w:rsid w:val="4C1032F8"/>
    <w:rsid w:val="4C1B7288"/>
    <w:rsid w:val="4C2F1245"/>
    <w:rsid w:val="4C5032F1"/>
    <w:rsid w:val="4C7D72AD"/>
    <w:rsid w:val="4C9B5A86"/>
    <w:rsid w:val="4C9D2B3F"/>
    <w:rsid w:val="4CAB0111"/>
    <w:rsid w:val="4CB97F30"/>
    <w:rsid w:val="4CC867BE"/>
    <w:rsid w:val="4CCC208F"/>
    <w:rsid w:val="4D316543"/>
    <w:rsid w:val="4D3332B2"/>
    <w:rsid w:val="4D346FE6"/>
    <w:rsid w:val="4D381392"/>
    <w:rsid w:val="4D64408A"/>
    <w:rsid w:val="4D7239BF"/>
    <w:rsid w:val="4DB800DE"/>
    <w:rsid w:val="4DD32E74"/>
    <w:rsid w:val="4DE46B7F"/>
    <w:rsid w:val="4E8A200B"/>
    <w:rsid w:val="4EB24804"/>
    <w:rsid w:val="4EBE651A"/>
    <w:rsid w:val="4EC565ED"/>
    <w:rsid w:val="4ECC3417"/>
    <w:rsid w:val="4ED730BA"/>
    <w:rsid w:val="4F147CAB"/>
    <w:rsid w:val="4F284341"/>
    <w:rsid w:val="4F8816E0"/>
    <w:rsid w:val="4FAC7AF5"/>
    <w:rsid w:val="4FC85ADD"/>
    <w:rsid w:val="4FE162DB"/>
    <w:rsid w:val="4FEA75EA"/>
    <w:rsid w:val="4FF972A3"/>
    <w:rsid w:val="50087241"/>
    <w:rsid w:val="500D57EF"/>
    <w:rsid w:val="500F14C5"/>
    <w:rsid w:val="50317ED5"/>
    <w:rsid w:val="504103C4"/>
    <w:rsid w:val="506A2DDF"/>
    <w:rsid w:val="50B97974"/>
    <w:rsid w:val="50F74165"/>
    <w:rsid w:val="510D479A"/>
    <w:rsid w:val="51365D06"/>
    <w:rsid w:val="514C2035"/>
    <w:rsid w:val="519C3A85"/>
    <w:rsid w:val="51B26688"/>
    <w:rsid w:val="51C848E8"/>
    <w:rsid w:val="51D67873"/>
    <w:rsid w:val="51F25AA8"/>
    <w:rsid w:val="52172037"/>
    <w:rsid w:val="52186510"/>
    <w:rsid w:val="524907D8"/>
    <w:rsid w:val="524B10AE"/>
    <w:rsid w:val="526177AF"/>
    <w:rsid w:val="52645547"/>
    <w:rsid w:val="526A3B4E"/>
    <w:rsid w:val="527B2E5B"/>
    <w:rsid w:val="529B7AD6"/>
    <w:rsid w:val="52AC1348"/>
    <w:rsid w:val="53084A18"/>
    <w:rsid w:val="53186E65"/>
    <w:rsid w:val="533272A5"/>
    <w:rsid w:val="53414EB0"/>
    <w:rsid w:val="534C3898"/>
    <w:rsid w:val="535149F8"/>
    <w:rsid w:val="535833EA"/>
    <w:rsid w:val="535C2E37"/>
    <w:rsid w:val="53602C52"/>
    <w:rsid w:val="53E86D11"/>
    <w:rsid w:val="53ED06C9"/>
    <w:rsid w:val="540F6858"/>
    <w:rsid w:val="54291FC0"/>
    <w:rsid w:val="5459069F"/>
    <w:rsid w:val="54624E60"/>
    <w:rsid w:val="547E5722"/>
    <w:rsid w:val="54912C50"/>
    <w:rsid w:val="54BD611B"/>
    <w:rsid w:val="54CA786B"/>
    <w:rsid w:val="54D65974"/>
    <w:rsid w:val="550D72A4"/>
    <w:rsid w:val="55337AFF"/>
    <w:rsid w:val="55570FE9"/>
    <w:rsid w:val="555F71BB"/>
    <w:rsid w:val="55866CE7"/>
    <w:rsid w:val="558A37C3"/>
    <w:rsid w:val="55A80780"/>
    <w:rsid w:val="55AE77F5"/>
    <w:rsid w:val="55B72817"/>
    <w:rsid w:val="56251597"/>
    <w:rsid w:val="562E62FF"/>
    <w:rsid w:val="56791852"/>
    <w:rsid w:val="56805F88"/>
    <w:rsid w:val="56916D2A"/>
    <w:rsid w:val="56AA462F"/>
    <w:rsid w:val="56CF5009"/>
    <w:rsid w:val="56D43DE0"/>
    <w:rsid w:val="56F31B2F"/>
    <w:rsid w:val="5739578D"/>
    <w:rsid w:val="573F5A87"/>
    <w:rsid w:val="576E72ED"/>
    <w:rsid w:val="57B35CA6"/>
    <w:rsid w:val="57D302DD"/>
    <w:rsid w:val="5810117D"/>
    <w:rsid w:val="583B6F96"/>
    <w:rsid w:val="58B41873"/>
    <w:rsid w:val="58B9364E"/>
    <w:rsid w:val="58DE0DA4"/>
    <w:rsid w:val="59135202"/>
    <w:rsid w:val="59147DBB"/>
    <w:rsid w:val="59216E13"/>
    <w:rsid w:val="593E23CA"/>
    <w:rsid w:val="593F15F7"/>
    <w:rsid w:val="594405BA"/>
    <w:rsid w:val="598A54CC"/>
    <w:rsid w:val="598F7FBB"/>
    <w:rsid w:val="59BB6FFD"/>
    <w:rsid w:val="59EC154B"/>
    <w:rsid w:val="5A5812A4"/>
    <w:rsid w:val="5A976051"/>
    <w:rsid w:val="5AB40D60"/>
    <w:rsid w:val="5B3155CB"/>
    <w:rsid w:val="5B3A4AC4"/>
    <w:rsid w:val="5B4B1991"/>
    <w:rsid w:val="5B915A8A"/>
    <w:rsid w:val="5BAA3F86"/>
    <w:rsid w:val="5BBC4861"/>
    <w:rsid w:val="5BC10778"/>
    <w:rsid w:val="5BC71B99"/>
    <w:rsid w:val="5BDC446D"/>
    <w:rsid w:val="5BEB41D9"/>
    <w:rsid w:val="5C241C48"/>
    <w:rsid w:val="5C504836"/>
    <w:rsid w:val="5C5437E0"/>
    <w:rsid w:val="5C643B67"/>
    <w:rsid w:val="5C7D44E3"/>
    <w:rsid w:val="5CA23D8B"/>
    <w:rsid w:val="5CB800E3"/>
    <w:rsid w:val="5CDB5E6C"/>
    <w:rsid w:val="5CE66416"/>
    <w:rsid w:val="5D285C84"/>
    <w:rsid w:val="5D417C0A"/>
    <w:rsid w:val="5D4905E0"/>
    <w:rsid w:val="5D5C00E6"/>
    <w:rsid w:val="5D5F62A9"/>
    <w:rsid w:val="5D615944"/>
    <w:rsid w:val="5D8E0138"/>
    <w:rsid w:val="5D9A5012"/>
    <w:rsid w:val="5DFE680D"/>
    <w:rsid w:val="5E095CA8"/>
    <w:rsid w:val="5E434A37"/>
    <w:rsid w:val="5E934027"/>
    <w:rsid w:val="5E9D6D4B"/>
    <w:rsid w:val="5EFB074F"/>
    <w:rsid w:val="5F546BF9"/>
    <w:rsid w:val="5F937EF5"/>
    <w:rsid w:val="5FB631B9"/>
    <w:rsid w:val="5FB66903"/>
    <w:rsid w:val="5FD93FB1"/>
    <w:rsid w:val="5FDC1F47"/>
    <w:rsid w:val="601E0995"/>
    <w:rsid w:val="603F40F9"/>
    <w:rsid w:val="60604E81"/>
    <w:rsid w:val="607C182E"/>
    <w:rsid w:val="607F6950"/>
    <w:rsid w:val="60B0574C"/>
    <w:rsid w:val="611F14DA"/>
    <w:rsid w:val="612B0E95"/>
    <w:rsid w:val="613C53E2"/>
    <w:rsid w:val="61440900"/>
    <w:rsid w:val="614958C6"/>
    <w:rsid w:val="61537F60"/>
    <w:rsid w:val="61772056"/>
    <w:rsid w:val="617B0BD3"/>
    <w:rsid w:val="61921FA0"/>
    <w:rsid w:val="61AA4459"/>
    <w:rsid w:val="61B52133"/>
    <w:rsid w:val="61D61BBA"/>
    <w:rsid w:val="61F822B9"/>
    <w:rsid w:val="621E7A59"/>
    <w:rsid w:val="622E16B1"/>
    <w:rsid w:val="62A839D2"/>
    <w:rsid w:val="62AB7D03"/>
    <w:rsid w:val="62D904B3"/>
    <w:rsid w:val="62DB3128"/>
    <w:rsid w:val="62F25581"/>
    <w:rsid w:val="63081FD8"/>
    <w:rsid w:val="631615B2"/>
    <w:rsid w:val="63342161"/>
    <w:rsid w:val="63391FE6"/>
    <w:rsid w:val="636564F7"/>
    <w:rsid w:val="63B4643D"/>
    <w:rsid w:val="63CD5F48"/>
    <w:rsid w:val="63E635B2"/>
    <w:rsid w:val="644F68EA"/>
    <w:rsid w:val="645343A0"/>
    <w:rsid w:val="64A62BBE"/>
    <w:rsid w:val="64FC33CB"/>
    <w:rsid w:val="650F3BC3"/>
    <w:rsid w:val="651D11C1"/>
    <w:rsid w:val="6522318C"/>
    <w:rsid w:val="65240F13"/>
    <w:rsid w:val="65764B99"/>
    <w:rsid w:val="6579414F"/>
    <w:rsid w:val="657B6ACA"/>
    <w:rsid w:val="65A173AF"/>
    <w:rsid w:val="660B1425"/>
    <w:rsid w:val="66146746"/>
    <w:rsid w:val="666E12A3"/>
    <w:rsid w:val="669337DB"/>
    <w:rsid w:val="66D238B8"/>
    <w:rsid w:val="66D35827"/>
    <w:rsid w:val="67183AC1"/>
    <w:rsid w:val="678659D1"/>
    <w:rsid w:val="684D25BF"/>
    <w:rsid w:val="68683626"/>
    <w:rsid w:val="6873592F"/>
    <w:rsid w:val="688864BD"/>
    <w:rsid w:val="68A90467"/>
    <w:rsid w:val="68BC623A"/>
    <w:rsid w:val="68DD61FC"/>
    <w:rsid w:val="68E842BE"/>
    <w:rsid w:val="69222848"/>
    <w:rsid w:val="693B43AB"/>
    <w:rsid w:val="69771C01"/>
    <w:rsid w:val="69AE046D"/>
    <w:rsid w:val="69BA4D01"/>
    <w:rsid w:val="69BB17A9"/>
    <w:rsid w:val="69CC1F0E"/>
    <w:rsid w:val="69CF6EA8"/>
    <w:rsid w:val="6A347AEF"/>
    <w:rsid w:val="6AAD67B9"/>
    <w:rsid w:val="6ABA4B26"/>
    <w:rsid w:val="6AD93FC1"/>
    <w:rsid w:val="6B173979"/>
    <w:rsid w:val="6B1F1E12"/>
    <w:rsid w:val="6B3A0B06"/>
    <w:rsid w:val="6B6E1AB6"/>
    <w:rsid w:val="6B856A21"/>
    <w:rsid w:val="6B9041AD"/>
    <w:rsid w:val="6B9F0588"/>
    <w:rsid w:val="6BA35757"/>
    <w:rsid w:val="6BBB02FF"/>
    <w:rsid w:val="6C0A500A"/>
    <w:rsid w:val="6C390298"/>
    <w:rsid w:val="6C473A57"/>
    <w:rsid w:val="6C47793A"/>
    <w:rsid w:val="6CA71A21"/>
    <w:rsid w:val="6CC225AF"/>
    <w:rsid w:val="6CF360ED"/>
    <w:rsid w:val="6D1B69C7"/>
    <w:rsid w:val="6D2C44D1"/>
    <w:rsid w:val="6D3E6A84"/>
    <w:rsid w:val="6D771FA8"/>
    <w:rsid w:val="6DC50C6C"/>
    <w:rsid w:val="6E066310"/>
    <w:rsid w:val="6E623AF2"/>
    <w:rsid w:val="6E814111"/>
    <w:rsid w:val="6ED40419"/>
    <w:rsid w:val="6EEA77B1"/>
    <w:rsid w:val="6EF44D23"/>
    <w:rsid w:val="6F475AF7"/>
    <w:rsid w:val="6F7935DC"/>
    <w:rsid w:val="6F891D7B"/>
    <w:rsid w:val="6FAE7887"/>
    <w:rsid w:val="6FC231A3"/>
    <w:rsid w:val="6FC6779D"/>
    <w:rsid w:val="6FFA37F0"/>
    <w:rsid w:val="701B5775"/>
    <w:rsid w:val="70255C38"/>
    <w:rsid w:val="7039688D"/>
    <w:rsid w:val="705D7D9C"/>
    <w:rsid w:val="70C129CC"/>
    <w:rsid w:val="713438DC"/>
    <w:rsid w:val="7155773A"/>
    <w:rsid w:val="7177270E"/>
    <w:rsid w:val="718E0A91"/>
    <w:rsid w:val="719E1AFD"/>
    <w:rsid w:val="71BC3C82"/>
    <w:rsid w:val="71ED0957"/>
    <w:rsid w:val="72474AE3"/>
    <w:rsid w:val="72550082"/>
    <w:rsid w:val="72BA4036"/>
    <w:rsid w:val="72D5039E"/>
    <w:rsid w:val="731C71E5"/>
    <w:rsid w:val="734567F7"/>
    <w:rsid w:val="73946D59"/>
    <w:rsid w:val="73AF2654"/>
    <w:rsid w:val="73D404CE"/>
    <w:rsid w:val="73E17335"/>
    <w:rsid w:val="74252D6F"/>
    <w:rsid w:val="742E6EF7"/>
    <w:rsid w:val="744E5A78"/>
    <w:rsid w:val="74984B61"/>
    <w:rsid w:val="74AD5D80"/>
    <w:rsid w:val="74C213FD"/>
    <w:rsid w:val="74CF02D7"/>
    <w:rsid w:val="74E161CC"/>
    <w:rsid w:val="74F275F1"/>
    <w:rsid w:val="74F96B3F"/>
    <w:rsid w:val="75421A88"/>
    <w:rsid w:val="7551269B"/>
    <w:rsid w:val="755C4F5D"/>
    <w:rsid w:val="75640781"/>
    <w:rsid w:val="75744E62"/>
    <w:rsid w:val="7576120E"/>
    <w:rsid w:val="75A40403"/>
    <w:rsid w:val="75E9610A"/>
    <w:rsid w:val="760B0E1F"/>
    <w:rsid w:val="760D10C2"/>
    <w:rsid w:val="76141AE1"/>
    <w:rsid w:val="763F791A"/>
    <w:rsid w:val="766770D5"/>
    <w:rsid w:val="769D3037"/>
    <w:rsid w:val="76A6032E"/>
    <w:rsid w:val="76B41355"/>
    <w:rsid w:val="76B65385"/>
    <w:rsid w:val="76B87C82"/>
    <w:rsid w:val="76BB2233"/>
    <w:rsid w:val="772124E9"/>
    <w:rsid w:val="772F671B"/>
    <w:rsid w:val="77383EEC"/>
    <w:rsid w:val="774020B6"/>
    <w:rsid w:val="77784E20"/>
    <w:rsid w:val="778079CE"/>
    <w:rsid w:val="77A55C52"/>
    <w:rsid w:val="77F10372"/>
    <w:rsid w:val="78022FA0"/>
    <w:rsid w:val="782F3A7C"/>
    <w:rsid w:val="783303F6"/>
    <w:rsid w:val="78530DC2"/>
    <w:rsid w:val="786B2E1F"/>
    <w:rsid w:val="78782E16"/>
    <w:rsid w:val="787C6C36"/>
    <w:rsid w:val="788164E4"/>
    <w:rsid w:val="78984F6D"/>
    <w:rsid w:val="789E7DD4"/>
    <w:rsid w:val="78B25B36"/>
    <w:rsid w:val="78B36EC8"/>
    <w:rsid w:val="78CC73DD"/>
    <w:rsid w:val="78CD3516"/>
    <w:rsid w:val="78CD4BEB"/>
    <w:rsid w:val="78E321CE"/>
    <w:rsid w:val="792742AB"/>
    <w:rsid w:val="794D1E98"/>
    <w:rsid w:val="796505C4"/>
    <w:rsid w:val="79712CEF"/>
    <w:rsid w:val="799214A1"/>
    <w:rsid w:val="79BA39F0"/>
    <w:rsid w:val="79EE3890"/>
    <w:rsid w:val="79F30871"/>
    <w:rsid w:val="7A1104B6"/>
    <w:rsid w:val="7A3217EF"/>
    <w:rsid w:val="7A4331CC"/>
    <w:rsid w:val="7A4341C5"/>
    <w:rsid w:val="7A4F18EB"/>
    <w:rsid w:val="7A8C6DB0"/>
    <w:rsid w:val="7AAA3708"/>
    <w:rsid w:val="7AF127EB"/>
    <w:rsid w:val="7B51056D"/>
    <w:rsid w:val="7B5E48E2"/>
    <w:rsid w:val="7B775809"/>
    <w:rsid w:val="7BC07C13"/>
    <w:rsid w:val="7BE56624"/>
    <w:rsid w:val="7C0F3625"/>
    <w:rsid w:val="7C0F6028"/>
    <w:rsid w:val="7C16425A"/>
    <w:rsid w:val="7C2A0182"/>
    <w:rsid w:val="7C8A77FA"/>
    <w:rsid w:val="7C914AC0"/>
    <w:rsid w:val="7CEF273B"/>
    <w:rsid w:val="7D014464"/>
    <w:rsid w:val="7D074C20"/>
    <w:rsid w:val="7D2202C3"/>
    <w:rsid w:val="7D4C6F59"/>
    <w:rsid w:val="7D504399"/>
    <w:rsid w:val="7D6E521C"/>
    <w:rsid w:val="7D7273CC"/>
    <w:rsid w:val="7D8536BD"/>
    <w:rsid w:val="7DAD0BB1"/>
    <w:rsid w:val="7DDF6EE9"/>
    <w:rsid w:val="7E046EE7"/>
    <w:rsid w:val="7E0753FD"/>
    <w:rsid w:val="7E1D59AE"/>
    <w:rsid w:val="7E2A3A2D"/>
    <w:rsid w:val="7E3C71BC"/>
    <w:rsid w:val="7E3D0D3D"/>
    <w:rsid w:val="7E950BDF"/>
    <w:rsid w:val="7E9C1E63"/>
    <w:rsid w:val="7EFC43DD"/>
    <w:rsid w:val="7F010B99"/>
    <w:rsid w:val="7F4A17DB"/>
    <w:rsid w:val="7F5C0927"/>
    <w:rsid w:val="7F8A690E"/>
    <w:rsid w:val="7F9277FC"/>
    <w:rsid w:val="7FBC4973"/>
    <w:rsid w:val="7FC27D0C"/>
    <w:rsid w:val="7FC802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after="120" w:afterLines="0" w:afterAutospacing="0" w:line="480" w:lineRule="auto"/>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next w:val="1"/>
    <w:qFormat/>
    <w:uiPriority w:val="0"/>
    <w:pPr>
      <w:spacing w:before="100" w:beforeAutospacing="1" w:after="100" w:afterAutospacing="1"/>
      <w:ind w:left="0" w:right="0"/>
      <w:jc w:val="left"/>
    </w:pPr>
    <w:rPr>
      <w:kern w:val="0"/>
      <w:sz w:val="24"/>
      <w:lang w:val="en-US" w:eastAsia="zh-CN"/>
    </w:rPr>
  </w:style>
  <w:style w:type="character" w:styleId="10">
    <w:name w:val="Strong"/>
    <w:basedOn w:val="9"/>
    <w:qFormat/>
    <w:uiPriority w:val="0"/>
    <w:rPr>
      <w:b/>
    </w:rPr>
  </w:style>
  <w:style w:type="character" w:styleId="11">
    <w:name w:val="page number"/>
    <w:basedOn w:val="9"/>
    <w:qFormat/>
    <w:uiPriority w:val="0"/>
  </w:style>
  <w:style w:type="character" w:styleId="12">
    <w:name w:val="FollowedHyperlink"/>
    <w:basedOn w:val="9"/>
    <w:qFormat/>
    <w:uiPriority w:val="0"/>
    <w:rPr>
      <w:color w:val="000000"/>
      <w:u w:val="none"/>
    </w:rPr>
  </w:style>
  <w:style w:type="character" w:styleId="13">
    <w:name w:val="Emphasis"/>
    <w:basedOn w:val="9"/>
    <w:qFormat/>
    <w:uiPriority w:val="0"/>
  </w:style>
  <w:style w:type="character" w:styleId="14">
    <w:name w:val="Hyperlink"/>
    <w:basedOn w:val="9"/>
    <w:qFormat/>
    <w:uiPriority w:val="0"/>
    <w:rPr>
      <w:color w:val="000000"/>
      <w:u w:val="none"/>
    </w:rPr>
  </w:style>
  <w:style w:type="paragraph" w:customStyle="1" w:styleId="15">
    <w:name w:val="正文首行缩进 21"/>
    <w:basedOn w:val="16"/>
    <w:next w:val="7"/>
    <w:qFormat/>
    <w:uiPriority w:val="99"/>
    <w:pPr>
      <w:ind w:firstLine="200" w:firstLineChars="200"/>
    </w:pPr>
  </w:style>
  <w:style w:type="paragraph" w:customStyle="1" w:styleId="16">
    <w:name w:val="正文文本缩进1"/>
    <w:basedOn w:val="1"/>
    <w:qFormat/>
    <w:uiPriority w:val="99"/>
    <w:pPr>
      <w:ind w:left="200" w:leftChars="200"/>
    </w:pPr>
  </w:style>
  <w:style w:type="paragraph" w:customStyle="1" w:styleId="17">
    <w:name w:val="Body Text First Indent 2"/>
    <w:basedOn w:val="18"/>
    <w:qFormat/>
    <w:uiPriority w:val="0"/>
    <w:pPr>
      <w:spacing w:before="100" w:beforeLines="0" w:beforeAutospacing="1" w:after="0" w:afterLines="0"/>
      <w:ind w:firstLine="420" w:firstLineChars="200"/>
    </w:pPr>
    <w:rPr>
      <w:rFonts w:ascii="Times New Roman" w:hAnsi="Times New Roman" w:eastAsia="仿宋_GB2312" w:cs="Times New Roman"/>
      <w:sz w:val="32"/>
      <w:szCs w:val="32"/>
    </w:rPr>
  </w:style>
  <w:style w:type="paragraph" w:customStyle="1" w:styleId="18">
    <w:name w:val="Body Text Indent"/>
    <w:basedOn w:val="1"/>
    <w:next w:val="19"/>
    <w:qFormat/>
    <w:uiPriority w:val="0"/>
    <w:pPr>
      <w:spacing w:after="120" w:afterLines="0"/>
      <w:ind w:left="420" w:leftChars="200"/>
    </w:pPr>
    <w:rPr>
      <w:rFonts w:ascii="Times New Roman" w:hAnsi="Times New Roman" w:eastAsia="仿宋_GB2312" w:cs="Times New Roman"/>
      <w:sz w:val="32"/>
      <w:szCs w:val="32"/>
    </w:rPr>
  </w:style>
  <w:style w:type="paragraph" w:customStyle="1" w:styleId="19">
    <w:name w:val="Normal Indent"/>
    <w:basedOn w:val="1"/>
    <w:qFormat/>
    <w:uiPriority w:val="0"/>
    <w:pPr>
      <w:ind w:firstLine="420" w:firstLineChars="200"/>
    </w:pPr>
    <w:rPr>
      <w:rFonts w:eastAsia="仿宋"/>
      <w:sz w:val="32"/>
    </w:rPr>
  </w:style>
  <w:style w:type="paragraph" w:customStyle="1" w:styleId="20">
    <w:name w:val="Char"/>
    <w:basedOn w:val="1"/>
    <w:qFormat/>
    <w:uiPriority w:val="0"/>
    <w:pPr>
      <w:widowControl/>
      <w:spacing w:after="160" w:line="240" w:lineRule="exact"/>
      <w:jc w:val="left"/>
    </w:pPr>
    <w:rPr>
      <w:rFonts w:ascii="Verdana" w:hAnsi="Verdana" w:cs="Times New Roman"/>
      <w:kern w:val="0"/>
      <w:sz w:val="20"/>
      <w:szCs w:val="20"/>
      <w:lang w:eastAsia="en-US"/>
    </w:rPr>
  </w:style>
  <w:style w:type="character" w:customStyle="1" w:styleId="21">
    <w:name w:val="wsxf"/>
    <w:basedOn w:val="9"/>
    <w:qFormat/>
    <w:uiPriority w:val="0"/>
  </w:style>
  <w:style w:type="character" w:customStyle="1" w:styleId="22">
    <w:name w:val="last-child"/>
    <w:basedOn w:val="9"/>
    <w:qFormat/>
    <w:uiPriority w:val="0"/>
  </w:style>
  <w:style w:type="character" w:customStyle="1" w:styleId="23">
    <w:name w:val="xmt"/>
    <w:basedOn w:val="9"/>
    <w:qFormat/>
    <w:uiPriority w:val="0"/>
  </w:style>
  <w:style w:type="character" w:customStyle="1" w:styleId="24">
    <w:name w:val="cur1"/>
    <w:basedOn w:val="9"/>
    <w:qFormat/>
    <w:uiPriority w:val="0"/>
    <w:rPr>
      <w:color w:val="146EAA"/>
    </w:rPr>
  </w:style>
  <w:style w:type="character" w:customStyle="1" w:styleId="25">
    <w:name w:val="cur2"/>
    <w:basedOn w:val="9"/>
    <w:qFormat/>
    <w:uiPriority w:val="0"/>
    <w:rPr>
      <w:color w:val="06355B"/>
    </w:rPr>
  </w:style>
  <w:style w:type="character" w:customStyle="1" w:styleId="26">
    <w:name w:val="cur3"/>
    <w:basedOn w:val="9"/>
    <w:qFormat/>
    <w:uiPriority w:val="0"/>
    <w:rPr>
      <w:color w:val="06355B"/>
    </w:rPr>
  </w:style>
  <w:style w:type="character" w:customStyle="1" w:styleId="27">
    <w:name w:val="cur4"/>
    <w:basedOn w:val="9"/>
    <w:qFormat/>
    <w:uiPriority w:val="0"/>
    <w:rPr>
      <w:color w:val="00558E"/>
    </w:rPr>
  </w:style>
  <w:style w:type="character" w:customStyle="1" w:styleId="28">
    <w:name w:val="cur5"/>
    <w:basedOn w:val="9"/>
    <w:qFormat/>
    <w:uiPriority w:val="0"/>
    <w:rPr>
      <w:color w:val="FFFFFF"/>
      <w:shd w:val="clear" w:fill="4B97D0"/>
    </w:rPr>
  </w:style>
  <w:style w:type="character" w:customStyle="1" w:styleId="29">
    <w:name w:val="tsjb"/>
    <w:basedOn w:val="9"/>
    <w:qFormat/>
    <w:uiPriority w:val="0"/>
  </w:style>
  <w:style w:type="character" w:customStyle="1" w:styleId="30">
    <w:name w:val="time01"/>
    <w:basedOn w:val="9"/>
    <w:qFormat/>
    <w:uiPriority w:val="0"/>
    <w:rPr>
      <w:color w:val="999999"/>
    </w:rPr>
  </w:style>
  <w:style w:type="character" w:customStyle="1" w:styleId="31">
    <w:name w:val="hover26"/>
    <w:basedOn w:val="9"/>
    <w:qFormat/>
    <w:uiPriority w:val="0"/>
    <w:rPr>
      <w:color w:val="FFFFFF"/>
      <w:shd w:val="clear" w:fill="4B97D0"/>
    </w:rPr>
  </w:style>
  <w:style w:type="character" w:customStyle="1" w:styleId="32">
    <w:name w:val="cur6"/>
    <w:basedOn w:val="9"/>
    <w:qFormat/>
    <w:uiPriority w:val="0"/>
    <w:rPr>
      <w:color w:val="06355B"/>
    </w:rPr>
  </w:style>
  <w:style w:type="character" w:customStyle="1" w:styleId="33">
    <w:name w:val="cur7"/>
    <w:basedOn w:val="9"/>
    <w:qFormat/>
    <w:uiPriority w:val="0"/>
    <w:rPr>
      <w:color w:val="00558E"/>
    </w:rPr>
  </w:style>
  <w:style w:type="character" w:customStyle="1" w:styleId="34">
    <w:name w:val="cur8"/>
    <w:basedOn w:val="9"/>
    <w:qFormat/>
    <w:uiPriority w:val="0"/>
    <w:rPr>
      <w:color w:val="FFFFFF"/>
      <w:shd w:val="clear" w:fill="4B97D0"/>
    </w:rPr>
  </w:style>
  <w:style w:type="character" w:customStyle="1" w:styleId="35">
    <w:name w:val="cur9"/>
    <w:basedOn w:val="9"/>
    <w:qFormat/>
    <w:uiPriority w:val="0"/>
    <w:rPr>
      <w:color w:val="FFFFFF"/>
      <w:shd w:val="clear" w:fill="4B97D0"/>
    </w:rPr>
  </w:style>
  <w:style w:type="character" w:customStyle="1" w:styleId="36">
    <w:name w:val="hover23"/>
    <w:basedOn w:val="9"/>
    <w:qFormat/>
    <w:uiPriority w:val="0"/>
    <w:rPr>
      <w:color w:val="FFFFFF"/>
      <w:shd w:val="clear" w:fill="4B97D0"/>
    </w:rPr>
  </w:style>
  <w:style w:type="character" w:customStyle="1" w:styleId="37">
    <w:name w:val="cur"/>
    <w:basedOn w:val="9"/>
    <w:qFormat/>
    <w:uiPriority w:val="0"/>
    <w:rPr>
      <w:color w:val="06355B"/>
    </w:rPr>
  </w:style>
  <w:style w:type="character" w:customStyle="1" w:styleId="38">
    <w:name w:val="hover25"/>
    <w:basedOn w:val="9"/>
    <w:qFormat/>
    <w:uiPriority w:val="0"/>
    <w:rPr>
      <w:color w:val="FFFFFF"/>
      <w:shd w:val="clear" w:fill="4B97D0"/>
    </w:rPr>
  </w:style>
  <w:style w:type="paragraph" w:customStyle="1" w:styleId="3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4887</Words>
  <Characters>4945</Characters>
  <Lines>56</Lines>
  <Paragraphs>16</Paragraphs>
  <TotalTime>22</TotalTime>
  <ScaleCrop>false</ScaleCrop>
  <LinksUpToDate>false</LinksUpToDate>
  <CharactersWithSpaces>5000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2015-11-05T01:06:00Z</dcterms:created>
  <dc:creator>Administrator</dc:creator>
  <cp:lastModifiedBy>哥丶看破繁华</cp:lastModifiedBy>
  <cp:lastPrinted>2022-06-06T01:28:00Z</cp:lastPrinted>
  <dcterms:modified xsi:type="dcterms:W3CDTF">2023-05-04T08:11:01Z</dcterms:modified>
  <dc:title>台州市安全生产监督管理局文件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441AAF48804E45119EB9ED1627187A44</vt:lpwstr>
  </property>
</Properties>
</file>