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autoSpaceDN w:val="0"/>
        <w:spacing w:line="680" w:lineRule="exact"/>
        <w:rPr>
          <w:rFonts w:ascii="仿宋_GB2312" w:hAnsi="仿宋_GB2312"/>
          <w:sz w:val="32"/>
          <w:szCs w:val="32"/>
        </w:rPr>
      </w:pPr>
    </w:p>
    <w:p>
      <w:pPr>
        <w:pStyle w:val="18"/>
        <w:autoSpaceDN w:val="0"/>
        <w:spacing w:line="680" w:lineRule="exact"/>
        <w:rPr>
          <w:rFonts w:ascii="仿宋_GB2312" w:hAnsi="仿宋_GB2312"/>
          <w:sz w:val="32"/>
          <w:szCs w:val="32"/>
        </w:rPr>
      </w:pPr>
      <w:r>
        <w:rPr>
          <w:rFonts w:ascii="仿宋_GB2312" w:hAnsi="仿宋_GB2312"/>
          <w:sz w:val="32"/>
          <w:szCs w:val="32"/>
        </w:rPr>
        <w:t xml:space="preserve"> </w:t>
      </w:r>
    </w:p>
    <w:p>
      <w:pPr>
        <w:pStyle w:val="18"/>
        <w:autoSpaceDN w:val="0"/>
        <w:spacing w:line="680" w:lineRule="exact"/>
        <w:rPr>
          <w:rFonts w:ascii="仿宋_GB2312" w:hAnsi="仿宋_GB2312"/>
          <w:sz w:val="32"/>
          <w:szCs w:val="32"/>
        </w:rPr>
      </w:pPr>
    </w:p>
    <w:p>
      <w:pPr>
        <w:pStyle w:val="18"/>
        <w:autoSpaceDN w:val="0"/>
        <w:spacing w:line="680" w:lineRule="exact"/>
        <w:rPr>
          <w:rFonts w:ascii="仿宋_GB2312" w:hAnsi="仿宋_GB2312"/>
          <w:sz w:val="32"/>
          <w:szCs w:val="32"/>
        </w:rPr>
      </w:pPr>
    </w:p>
    <w:p>
      <w:pPr>
        <w:pStyle w:val="18"/>
        <w:autoSpaceDN w:val="0"/>
        <w:spacing w:line="680" w:lineRule="exact"/>
        <w:rPr>
          <w:rFonts w:ascii="仿宋_GB2312" w:hAnsi="仿宋_GB2312"/>
          <w:sz w:val="32"/>
          <w:szCs w:val="32"/>
        </w:rPr>
      </w:pPr>
    </w:p>
    <w:p>
      <w:pPr>
        <w:pStyle w:val="18"/>
        <w:autoSpaceDN w:val="0"/>
        <w:spacing w:line="680" w:lineRule="exact"/>
        <w:rPr>
          <w:rFonts w:ascii="仿宋_GB2312" w:hAnsi="仿宋_GB2312"/>
          <w:sz w:val="32"/>
          <w:szCs w:val="32"/>
        </w:rPr>
      </w:pPr>
      <w:r>
        <w:rPr>
          <w:rFonts w:ascii="仿宋_GB2312" w:hAnsi="仿宋_GB2312"/>
          <w:sz w:val="32"/>
          <w:szCs w:val="32"/>
        </w:rPr>
        <w:t xml:space="preserve"> </w:t>
      </w:r>
    </w:p>
    <w:p>
      <w:pPr>
        <w:pStyle w:val="18"/>
        <w:autoSpaceDN w:val="0"/>
        <w:spacing w:line="680" w:lineRule="exact"/>
        <w:rPr>
          <w:rFonts w:ascii="仿宋_GB2312" w:hAnsi="仿宋_GB2312"/>
          <w:sz w:val="32"/>
          <w:szCs w:val="32"/>
        </w:rPr>
      </w:pPr>
    </w:p>
    <w:p>
      <w:pPr>
        <w:keepNext w:val="0"/>
        <w:keepLines w:val="0"/>
        <w:pageBreakBefore w:val="0"/>
        <w:kinsoku/>
        <w:wordWrap/>
        <w:overflowPunct/>
        <w:topLinePunct w:val="0"/>
        <w:autoSpaceDE/>
        <w:autoSpaceDN/>
        <w:bidi w:val="0"/>
        <w:adjustRightInd/>
        <w:snapToGrid/>
        <w:spacing w:line="500" w:lineRule="exact"/>
        <w:ind w:firstLine="720" w:firstLineChars="200"/>
        <w:textAlignment w:val="auto"/>
        <w:rPr>
          <w:rFonts w:ascii="仿宋_GB2312" w:eastAsia="仿宋_GB2312"/>
          <w:sz w:val="36"/>
          <w:szCs w:val="36"/>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color w:val="auto"/>
          <w:kern w:val="0"/>
          <w:sz w:val="44"/>
          <w:szCs w:val="44"/>
          <w:lang w:eastAsia="zh-CN"/>
        </w:rPr>
      </w:pPr>
      <w:bookmarkStart w:id="0" w:name="_GoBack"/>
      <w:r>
        <w:rPr>
          <w:rFonts w:hint="eastAsia" w:ascii="方正小标宋简体" w:hAnsi="方正小标宋简体" w:eastAsia="方正小标宋简体" w:cs="方正小标宋简体"/>
          <w:color w:val="auto"/>
          <w:kern w:val="0"/>
          <w:sz w:val="44"/>
          <w:szCs w:val="44"/>
          <w:lang w:eastAsia="zh-CN"/>
        </w:rPr>
        <w:t>荫城镇人民政府</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color w:val="auto"/>
          <w:kern w:val="0"/>
          <w:sz w:val="44"/>
          <w:szCs w:val="44"/>
          <w:lang w:eastAsia="zh-CN"/>
        </w:rPr>
      </w:pPr>
      <w:r>
        <w:rPr>
          <w:rFonts w:hint="eastAsia" w:ascii="方正小标宋简体" w:hAnsi="方正小标宋简体" w:eastAsia="方正小标宋简体" w:cs="方正小标宋简体"/>
          <w:bCs/>
          <w:sz w:val="44"/>
          <w:szCs w:val="44"/>
        </w:rPr>
        <w:t>关于印发《</w:t>
      </w:r>
      <w:r>
        <w:rPr>
          <w:rFonts w:hint="eastAsia" w:ascii="方正小标宋简体" w:hAnsi="方正小标宋简体" w:eastAsia="方正小标宋简体" w:cs="方正小标宋简体"/>
          <w:color w:val="auto"/>
          <w:kern w:val="0"/>
          <w:sz w:val="44"/>
          <w:szCs w:val="44"/>
          <w:lang w:eastAsia="zh-CN"/>
        </w:rPr>
        <w:t>荫城镇安全生产大检查大整治</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jc w:val="center"/>
        <w:textAlignment w:val="auto"/>
        <w:rPr>
          <w:rFonts w:hint="eastAsia" w:ascii="方正小标宋简体" w:eastAsia="方正小标宋简体"/>
          <w:bCs/>
          <w:i w:val="0"/>
          <w:color w:val="auto"/>
          <w:kern w:val="44"/>
          <w:sz w:val="44"/>
          <w:szCs w:val="44"/>
          <w:u w:val="none" w:color="auto"/>
          <w:lang w:val="en-US" w:eastAsia="zh-CN"/>
        </w:rPr>
      </w:pPr>
      <w:r>
        <w:rPr>
          <w:rFonts w:hint="eastAsia" w:ascii="方正小标宋简体" w:hAnsi="方正小标宋简体" w:eastAsia="方正小标宋简体" w:cs="方正小标宋简体"/>
          <w:color w:val="auto"/>
          <w:kern w:val="0"/>
          <w:sz w:val="44"/>
          <w:szCs w:val="44"/>
          <w:lang w:eastAsia="zh-CN"/>
        </w:rPr>
        <w:t>大提升行动工作方案</w:t>
      </w:r>
      <w:r>
        <w:rPr>
          <w:rFonts w:hint="eastAsia" w:ascii="方正小标宋简体" w:hAnsi="方正小标宋简体" w:eastAsia="方正小标宋简体" w:cs="方正小标宋简体"/>
          <w:bCs/>
          <w:sz w:val="44"/>
          <w:szCs w:val="44"/>
        </w:rPr>
        <w:t>》的通知</w:t>
      </w:r>
    </w:p>
    <w:bookmarkEnd w:id="0"/>
    <w:p>
      <w:pPr>
        <w:keepNext w:val="0"/>
        <w:keepLines w:val="0"/>
        <w:pageBreakBefore w:val="0"/>
        <w:widowControl w:val="0"/>
        <w:kinsoku/>
        <w:wordWrap/>
        <w:overflowPunct/>
        <w:topLinePunct w:val="0"/>
        <w:autoSpaceDE/>
        <w:autoSpaceDN/>
        <w:bidi w:val="0"/>
        <w:adjustRightInd/>
        <w:snapToGrid/>
        <w:spacing w:beforeAutospacing="0" w:afterAutospacing="0" w:line="540" w:lineRule="exact"/>
        <w:textAlignment w:val="auto"/>
      </w:pPr>
    </w:p>
    <w:p>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各村、各站所：</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color w:val="auto"/>
          <w:sz w:val="32"/>
          <w:szCs w:val="32"/>
          <w:u w:val="none"/>
          <w:lang w:eastAsia="zh-CN"/>
        </w:rPr>
        <w:t>现将《荫城镇安全生产大检查大整治大提升行动工作方案》印</w:t>
      </w:r>
      <w:r>
        <w:rPr>
          <w:rFonts w:ascii="仿宋_GB2312" w:hAnsi="仿宋_GB2312" w:eastAsia="仿宋_GB2312" w:cs="仿宋_GB2312"/>
          <w:sz w:val="32"/>
          <w:szCs w:val="32"/>
        </w:rPr>
        <w:t>发给你们，请结合实际认真贯彻落实。</w:t>
      </w:r>
    </w:p>
    <w:p>
      <w:pPr>
        <w:spacing w:line="560" w:lineRule="exact"/>
        <w:rPr>
          <w:rFonts w:eastAsia="宋体" w:cs="Times New Roman"/>
          <w:sz w:val="24"/>
        </w:rPr>
      </w:pPr>
      <w:r>
        <w:rPr>
          <w:rFonts w:eastAsia="宋体" w:cs="Times New Roman"/>
          <w:sz w:val="24"/>
        </w:rPr>
        <w:t>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4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40" w:lineRule="exact"/>
        <w:ind w:firstLine="2240" w:firstLineChars="7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540"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荫城镇人民政府</w:t>
      </w:r>
    </w:p>
    <w:p>
      <w:pPr>
        <w:pStyle w:val="2"/>
        <w:keepNext w:val="0"/>
        <w:keepLines w:val="0"/>
        <w:pageBreakBefore w:val="0"/>
        <w:widowControl w:val="0"/>
        <w:kinsoku/>
        <w:wordWrap/>
        <w:overflowPunct/>
        <w:topLinePunct w:val="0"/>
        <w:autoSpaceDE/>
        <w:autoSpaceDN/>
        <w:bidi w:val="0"/>
        <w:adjustRightInd/>
        <w:spacing w:line="540"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2022年5月11日</w:t>
      </w:r>
    </w:p>
    <w:p>
      <w:pPr>
        <w:pStyle w:val="4"/>
        <w:rPr>
          <w:rFonts w:hint="eastAsia"/>
          <w:lang w:val="en-US" w:eastAsia="zh-CN"/>
        </w:rPr>
      </w:pPr>
    </w:p>
    <w:p>
      <w:pPr>
        <w:pStyle w:val="2"/>
        <w:keepNext w:val="0"/>
        <w:keepLines w:val="0"/>
        <w:pageBreakBefore w:val="0"/>
        <w:widowControl w:val="0"/>
        <w:kinsoku/>
        <w:wordWrap/>
        <w:overflowPunct/>
        <w:topLinePunct w:val="0"/>
        <w:autoSpaceDE/>
        <w:autoSpaceDN/>
        <w:bidi w:val="0"/>
        <w:adjustRightInd/>
        <w:spacing w:line="540" w:lineRule="exact"/>
        <w:ind w:left="0" w:leftChars="0" w:firstLine="960" w:firstLineChars="300"/>
        <w:textAlignment w:val="auto"/>
        <w:rPr>
          <w:rFonts w:hint="eastAsia" w:ascii="仿宋_GB2312" w:hAnsi="仿宋_GB2312" w:eastAsia="仿宋_GB2312" w:cs="仿宋_GB2312"/>
          <w:sz w:val="32"/>
          <w:szCs w:val="32"/>
          <w:lang w:val="en-US" w:eastAsia="zh-CN"/>
        </w:rPr>
        <w:sectPr>
          <w:footerReference r:id="rId3" w:type="default"/>
          <w:pgSz w:w="11906" w:h="16838"/>
          <w:pgMar w:top="1157" w:right="1800" w:bottom="1157" w:left="1800" w:header="851" w:footer="1077" w:gutter="0"/>
          <w:pgNumType w:fmt="decimal" w:start="2"/>
          <w:cols w:space="720" w:num="1"/>
          <w:docGrid w:type="lines" w:linePitch="312" w:charSpace="0"/>
        </w:sect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color w:val="auto"/>
          <w:spacing w:val="-6"/>
          <w:kern w:val="0"/>
          <w:sz w:val="44"/>
          <w:szCs w:val="44"/>
          <w:u w:val="none"/>
          <w:lang w:val="en-US" w:eastAsia="zh-CN"/>
        </w:rPr>
      </w:pPr>
      <w:r>
        <w:rPr>
          <w:rFonts w:hint="eastAsia" w:ascii="方正小标宋简体" w:hAnsi="方正小标宋简体" w:eastAsia="方正小标宋简体" w:cs="方正小标宋简体"/>
          <w:bCs/>
          <w:sz w:val="44"/>
          <w:szCs w:val="44"/>
          <w:lang w:eastAsia="zh-CN"/>
        </w:rPr>
        <w:t>荫城镇</w:t>
      </w:r>
      <w:r>
        <w:rPr>
          <w:rFonts w:hint="eastAsia" w:ascii="方正小标宋简体" w:hAnsi="方正小标宋简体" w:eastAsia="方正小标宋简体" w:cs="方正小标宋简体"/>
          <w:color w:val="auto"/>
          <w:spacing w:val="-6"/>
          <w:kern w:val="0"/>
          <w:sz w:val="44"/>
          <w:szCs w:val="44"/>
          <w:u w:val="none"/>
        </w:rPr>
        <w:t>安全</w:t>
      </w:r>
      <w:r>
        <w:rPr>
          <w:rFonts w:hint="eastAsia" w:ascii="方正小标宋简体" w:hAnsi="方正小标宋简体" w:eastAsia="方正小标宋简体" w:cs="方正小标宋简体"/>
          <w:color w:val="auto"/>
          <w:spacing w:val="-6"/>
          <w:kern w:val="0"/>
          <w:sz w:val="44"/>
          <w:szCs w:val="44"/>
          <w:u w:val="none"/>
          <w:lang w:eastAsia="zh-CN"/>
        </w:rPr>
        <w:t>生产大检查</w:t>
      </w:r>
      <w:r>
        <w:rPr>
          <w:rFonts w:hint="eastAsia" w:ascii="方正小标宋简体" w:hAnsi="方正小标宋简体" w:eastAsia="方正小标宋简体" w:cs="方正小标宋简体"/>
          <w:color w:val="auto"/>
          <w:spacing w:val="-6"/>
          <w:kern w:val="0"/>
          <w:sz w:val="44"/>
          <w:szCs w:val="44"/>
          <w:u w:val="none"/>
          <w:lang w:val="en-US" w:eastAsia="zh-CN"/>
        </w:rPr>
        <w:t>大整治</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jc w:val="center"/>
        <w:textAlignment w:val="auto"/>
        <w:rPr>
          <w:rFonts w:hint="default" w:ascii="方正小标宋简体" w:hAnsi="方正小标宋简体" w:eastAsia="方正小标宋简体" w:cs="方正小标宋简体"/>
          <w:color w:val="auto"/>
          <w:spacing w:val="-6"/>
          <w:kern w:val="0"/>
          <w:sz w:val="44"/>
          <w:szCs w:val="44"/>
          <w:u w:val="none"/>
          <w:lang w:val="en-US"/>
        </w:rPr>
      </w:pPr>
      <w:r>
        <w:rPr>
          <w:rFonts w:hint="eastAsia" w:ascii="方正小标宋简体" w:hAnsi="方正小标宋简体" w:eastAsia="方正小标宋简体" w:cs="方正小标宋简体"/>
          <w:color w:val="auto"/>
          <w:spacing w:val="-6"/>
          <w:kern w:val="0"/>
          <w:sz w:val="44"/>
          <w:szCs w:val="44"/>
          <w:u w:val="none"/>
          <w:lang w:val="en-US" w:eastAsia="zh-CN"/>
        </w:rPr>
        <w:t>大提升行动工作方案</w:t>
      </w:r>
    </w:p>
    <w:p>
      <w:pPr>
        <w:widowControl w:val="0"/>
        <w:wordWrap/>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p>
    <w:p>
      <w:pPr>
        <w:pStyle w:val="12"/>
        <w:keepNext w:val="0"/>
        <w:keepLines w:val="0"/>
        <w:pageBreakBefore w:val="0"/>
        <w:kinsoku/>
        <w:wordWrap/>
        <w:overflowPunct/>
        <w:topLinePunct w:val="0"/>
        <w:autoSpaceDE/>
        <w:autoSpaceDN/>
        <w:bidi w:val="0"/>
        <w:adjustRightInd/>
        <w:snapToGrid/>
        <w:spacing w:before="0" w:beforeLines="0" w:line="600" w:lineRule="exact"/>
        <w:ind w:right="150" w:firstLine="640" w:firstLineChars="200"/>
        <w:jc w:val="both"/>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为认真贯彻落实习近平总书记关于安全生产重要指示精神，根据国务院安委会《关于进一步强化安全生产责任落实坚决防范遏制重特大事故的若干措施》《关于开展全国安全生产大检查工作的通知》和长治市《开展全市安全生产大检查大整治大提升行动工作方案》《长治市人民政府安全生产委员会关于贯彻落实国务院安委会全面加强安全生产十五条措施的实施方案》，结合我镇实际，制定全镇</w:t>
      </w:r>
      <w:r>
        <w:rPr>
          <w:rFonts w:hint="eastAsia" w:ascii="仿宋_GB2312" w:hAnsi="仿宋_GB2312" w:eastAsia="仿宋_GB2312" w:cs="仿宋_GB2312"/>
          <w:color w:val="auto"/>
          <w:sz w:val="32"/>
          <w:szCs w:val="32"/>
          <w:u w:val="none"/>
          <w:lang w:eastAsia="zh-CN"/>
        </w:rPr>
        <w:t>安全生产大检查</w:t>
      </w:r>
      <w:r>
        <w:rPr>
          <w:rFonts w:hint="eastAsia" w:ascii="仿宋_GB2312" w:hAnsi="仿宋_GB2312" w:eastAsia="仿宋_GB2312" w:cs="仿宋_GB2312"/>
          <w:color w:val="auto"/>
          <w:sz w:val="32"/>
          <w:szCs w:val="32"/>
          <w:u w:val="none"/>
          <w:lang w:val="en-US" w:eastAsia="zh-CN"/>
        </w:rPr>
        <w:t>大整治大提升行动工作方案，具体安排</w:t>
      </w:r>
      <w:r>
        <w:rPr>
          <w:rFonts w:hint="eastAsia" w:ascii="仿宋_GB2312" w:hAnsi="仿宋_GB2312" w:eastAsia="仿宋_GB2312" w:cs="仿宋_GB2312"/>
          <w:color w:val="auto"/>
          <w:sz w:val="32"/>
          <w:szCs w:val="32"/>
          <w:u w:val="none"/>
          <w:lang w:eastAsia="zh-CN"/>
        </w:rPr>
        <w:t>如下。</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rPr>
        <w:t>一、</w:t>
      </w:r>
      <w:r>
        <w:rPr>
          <w:rFonts w:hint="eastAsia" w:ascii="黑体" w:hAnsi="黑体" w:eastAsia="黑体" w:cs="黑体"/>
          <w:color w:val="auto"/>
          <w:kern w:val="0"/>
          <w:sz w:val="32"/>
          <w:szCs w:val="32"/>
          <w:u w:val="none"/>
          <w:lang w:eastAsia="zh-CN"/>
        </w:rPr>
        <w:t>总体要求</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以习近平新时代中国特色社会主义思想为指导，全面贯彻落实党中央国务院、省委省政府、市委市政府和区委区政府的决策部署，坚持人民至上、生命至上，统筹发展和安全，进一步强化安全生产红线意识和底线思维，织密织牢党政领导和部门监管责任体系，压紧压实企业安全生产主体责任，注重基础、标本兼治，深化源头治理、系统治理、综合治理，扎实推进安全生产治理体系和治理能力现代化，坚决防范遏制生产安全事故发生，为我镇全方位推动高质量发展提供坚强安全保障，为迎接党的二十大胜利召开营造安全稳定环境。</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ascii="黑体" w:hAnsi="黑体" w:eastAsia="黑体" w:cs="黑体"/>
          <w:color w:val="auto"/>
          <w:kern w:val="0"/>
          <w:sz w:val="32"/>
          <w:szCs w:val="32"/>
          <w:u w:val="none"/>
        </w:rPr>
      </w:pPr>
      <w:r>
        <w:rPr>
          <w:rFonts w:hint="eastAsia" w:ascii="黑体" w:hAnsi="黑体" w:eastAsia="黑体" w:cs="黑体"/>
          <w:color w:val="auto"/>
          <w:kern w:val="0"/>
          <w:sz w:val="32"/>
          <w:szCs w:val="32"/>
          <w:u w:val="none"/>
        </w:rPr>
        <w:t>二、组织领导</w:t>
      </w:r>
    </w:p>
    <w:p>
      <w:pPr>
        <w:keepNext w:val="0"/>
        <w:keepLines w:val="0"/>
        <w:pageBreakBefore w:val="0"/>
        <w:widowControl w:val="0"/>
        <w:suppressLineNumbers w:val="0"/>
        <w:kinsoku/>
        <w:overflowPunct/>
        <w:topLinePunct w:val="0"/>
        <w:autoSpaceDE/>
        <w:autoSpaceDN/>
        <w:bidi w:val="0"/>
        <w:adjustRightInd/>
        <w:snapToGrid/>
        <w:spacing w:line="600" w:lineRule="exact"/>
        <w:ind w:right="0" w:rightChars="0" w:firstLine="640" w:firstLineChars="200"/>
        <w:jc w:val="left"/>
        <w:textAlignment w:val="auto"/>
        <w:rPr>
          <w:b w:val="0"/>
          <w:bCs w:val="0"/>
          <w:color w:val="auto"/>
          <w:sz w:val="32"/>
          <w:szCs w:val="32"/>
          <w:u w:val="none"/>
        </w:rPr>
      </w:pPr>
      <w:r>
        <w:rPr>
          <w:rFonts w:ascii="楷体_GB2312" w:hAnsi="楷体_GB2312" w:eastAsia="楷体_GB2312" w:cs="楷体_GB2312"/>
          <w:b w:val="0"/>
          <w:bCs w:val="0"/>
          <w:color w:val="auto"/>
          <w:kern w:val="0"/>
          <w:sz w:val="32"/>
          <w:szCs w:val="32"/>
          <w:u w:val="none"/>
          <w:lang w:val="en-US" w:eastAsia="zh-CN" w:bidi="ar"/>
        </w:rPr>
        <w:t>（一）成立</w:t>
      </w:r>
      <w:r>
        <w:rPr>
          <w:rFonts w:hint="eastAsia" w:ascii="楷体_GB2312" w:hAnsi="楷体_GB2312" w:eastAsia="楷体_GB2312" w:cs="楷体_GB2312"/>
          <w:b w:val="0"/>
          <w:bCs w:val="0"/>
          <w:color w:val="auto"/>
          <w:kern w:val="0"/>
          <w:sz w:val="32"/>
          <w:szCs w:val="32"/>
          <w:u w:val="none"/>
          <w:lang w:val="en-US" w:eastAsia="zh-CN" w:bidi="ar"/>
        </w:rPr>
        <w:t>镇安全生产大检查大整治大提升集中行动领导组</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根据上级部署要求，镇党委、镇政府</w:t>
      </w:r>
      <w:r>
        <w:rPr>
          <w:rFonts w:hint="eastAsia" w:ascii="仿宋_GB2312" w:hAnsi="仿宋_GB2312" w:eastAsia="仿宋_GB2312" w:cs="仿宋_GB2312"/>
          <w:color w:val="auto"/>
          <w:sz w:val="32"/>
          <w:szCs w:val="32"/>
          <w:u w:val="none"/>
        </w:rPr>
        <w:t>成立</w:t>
      </w:r>
      <w:r>
        <w:rPr>
          <w:rFonts w:hint="eastAsia" w:ascii="仿宋_GB2312" w:hAnsi="仿宋_GB2312" w:eastAsia="仿宋_GB2312" w:cs="仿宋_GB2312"/>
          <w:color w:val="auto"/>
          <w:sz w:val="32"/>
          <w:szCs w:val="32"/>
          <w:u w:val="none"/>
          <w:lang w:eastAsia="zh-CN"/>
        </w:rPr>
        <w:t>全镇</w:t>
      </w:r>
      <w:r>
        <w:rPr>
          <w:rFonts w:hint="eastAsia" w:ascii="仿宋_GB2312" w:hAnsi="仿宋_GB2312" w:eastAsia="仿宋_GB2312" w:cs="仿宋_GB2312"/>
          <w:color w:val="auto"/>
          <w:sz w:val="32"/>
          <w:szCs w:val="32"/>
          <w:u w:val="none"/>
        </w:rPr>
        <w:t>安全生产大检查大整治大提升集中行动领导组（以下简称领导组），全面负责</w:t>
      </w:r>
      <w:r>
        <w:rPr>
          <w:rFonts w:hint="eastAsia" w:ascii="仿宋_GB2312" w:hAnsi="仿宋_GB2312" w:eastAsia="仿宋_GB2312" w:cs="仿宋_GB2312"/>
          <w:color w:val="auto"/>
          <w:sz w:val="32"/>
          <w:szCs w:val="32"/>
          <w:u w:val="none"/>
          <w:lang w:eastAsia="zh-CN"/>
        </w:rPr>
        <w:t>全镇安全</w:t>
      </w:r>
      <w:r>
        <w:rPr>
          <w:rFonts w:hint="eastAsia" w:ascii="仿宋_GB2312" w:hAnsi="仿宋_GB2312" w:eastAsia="仿宋_GB2312" w:cs="仿宋_GB2312"/>
          <w:color w:val="auto"/>
          <w:sz w:val="32"/>
          <w:szCs w:val="32"/>
          <w:u w:val="none"/>
          <w:lang w:val="en-US" w:eastAsia="zh-CN"/>
        </w:rPr>
        <w:t>生产</w:t>
      </w:r>
      <w:r>
        <w:rPr>
          <w:rFonts w:hint="eastAsia" w:ascii="仿宋_GB2312" w:hAnsi="仿宋_GB2312" w:eastAsia="仿宋_GB2312" w:cs="仿宋_GB2312"/>
          <w:color w:val="auto"/>
          <w:sz w:val="32"/>
          <w:szCs w:val="32"/>
          <w:u w:val="none"/>
          <w:lang w:eastAsia="zh-CN"/>
        </w:rPr>
        <w:t>大检查</w:t>
      </w:r>
      <w:r>
        <w:rPr>
          <w:rFonts w:hint="eastAsia" w:ascii="仿宋_GB2312" w:hAnsi="仿宋_GB2312" w:eastAsia="仿宋_GB2312" w:cs="仿宋_GB2312"/>
          <w:color w:val="auto"/>
          <w:sz w:val="32"/>
          <w:szCs w:val="32"/>
          <w:u w:val="none"/>
          <w:lang w:val="en-US" w:eastAsia="zh-CN"/>
        </w:rPr>
        <w:t>大整治大提升</w:t>
      </w:r>
      <w:r>
        <w:rPr>
          <w:rFonts w:hint="eastAsia" w:ascii="仿宋_GB2312" w:hAnsi="仿宋_GB2312" w:eastAsia="仿宋_GB2312" w:cs="仿宋_GB2312"/>
          <w:color w:val="auto"/>
          <w:sz w:val="32"/>
          <w:szCs w:val="32"/>
          <w:u w:val="none"/>
          <w:lang w:eastAsia="zh-CN"/>
        </w:rPr>
        <w:t>行动</w:t>
      </w:r>
      <w:r>
        <w:rPr>
          <w:rFonts w:hint="eastAsia" w:ascii="仿宋_GB2312" w:hAnsi="仿宋_GB2312" w:eastAsia="仿宋_GB2312" w:cs="仿宋_GB2312"/>
          <w:color w:val="auto"/>
          <w:sz w:val="32"/>
          <w:szCs w:val="32"/>
          <w:u w:val="none"/>
        </w:rPr>
        <w:t>的组织领导，研究解决工作中存在的突出问题。组长由</w:t>
      </w:r>
      <w:r>
        <w:rPr>
          <w:rFonts w:hint="eastAsia" w:ascii="仿宋_GB2312" w:hAnsi="仿宋_GB2312" w:eastAsia="仿宋_GB2312" w:cs="仿宋_GB2312"/>
          <w:color w:val="auto"/>
          <w:sz w:val="32"/>
          <w:szCs w:val="32"/>
          <w:u w:val="none"/>
          <w:lang w:eastAsia="zh-CN"/>
        </w:rPr>
        <w:t>镇党委书记周凤飞、镇长宋鹏飞</w:t>
      </w:r>
      <w:r>
        <w:rPr>
          <w:rFonts w:hint="eastAsia" w:ascii="仿宋_GB2312" w:hAnsi="仿宋_GB2312" w:eastAsia="仿宋_GB2312" w:cs="仿宋_GB2312"/>
          <w:color w:val="auto"/>
          <w:sz w:val="32"/>
          <w:szCs w:val="32"/>
          <w:u w:val="none"/>
          <w:lang w:val="en-US" w:eastAsia="zh-CN"/>
        </w:rPr>
        <w:t>担任，常务副组长由</w:t>
      </w:r>
      <w:r>
        <w:rPr>
          <w:rFonts w:hint="eastAsia" w:ascii="仿宋_GB2312" w:hAnsi="仿宋_GB2312" w:eastAsia="仿宋_GB2312" w:cs="仿宋_GB2312"/>
          <w:color w:val="auto"/>
          <w:sz w:val="32"/>
          <w:szCs w:val="32"/>
          <w:u w:val="none"/>
          <w:lang w:eastAsia="zh-CN"/>
        </w:rPr>
        <w:t>主任科员鲍书琴</w:t>
      </w:r>
      <w:r>
        <w:rPr>
          <w:rFonts w:hint="eastAsia" w:ascii="仿宋_GB2312" w:hAnsi="仿宋_GB2312" w:eastAsia="仿宋_GB2312" w:cs="仿宋_GB2312"/>
          <w:color w:val="auto"/>
          <w:sz w:val="32"/>
          <w:szCs w:val="32"/>
          <w:u w:val="none"/>
        </w:rPr>
        <w:t>担任，副组长</w:t>
      </w:r>
      <w:r>
        <w:rPr>
          <w:rFonts w:hint="eastAsia" w:ascii="仿宋_GB2312" w:hAnsi="仿宋_GB2312" w:eastAsia="仿宋_GB2312" w:cs="仿宋_GB2312"/>
          <w:color w:val="auto"/>
          <w:sz w:val="32"/>
          <w:szCs w:val="32"/>
          <w:u w:val="none"/>
          <w:lang w:eastAsia="zh-CN"/>
        </w:rPr>
        <w:t>分管领导担任，</w:t>
      </w:r>
      <w:r>
        <w:rPr>
          <w:rFonts w:hint="eastAsia" w:ascii="仿宋_GB2312" w:hAnsi="楷体_GB2312" w:eastAsia="仿宋_GB2312" w:cs="楷体_GB2312"/>
          <w:color w:val="auto"/>
          <w:kern w:val="0"/>
          <w:sz w:val="32"/>
          <w:szCs w:val="32"/>
          <w:u w:val="none"/>
          <w:lang w:val="en-US" w:eastAsia="zh-CN" w:bidi="ar"/>
        </w:rPr>
        <w:t>各站所负责人、村主干为成员</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领导组下设办公室，办公室设在镇安监站，负责起草全镇安全生产大检查</w:t>
      </w:r>
      <w:r>
        <w:rPr>
          <w:rFonts w:hint="eastAsia" w:ascii="仿宋_GB2312" w:hAnsi="仿宋_GB2312" w:eastAsia="仿宋_GB2312" w:cs="仿宋_GB2312"/>
          <w:color w:val="auto"/>
          <w:sz w:val="32"/>
          <w:szCs w:val="32"/>
          <w:u w:val="none"/>
          <w:lang w:val="en-US" w:eastAsia="zh-CN"/>
        </w:rPr>
        <w:t>大整治大提升</w:t>
      </w:r>
      <w:r>
        <w:rPr>
          <w:rFonts w:hint="eastAsia" w:ascii="仿宋_GB2312" w:hAnsi="仿宋_GB2312" w:eastAsia="仿宋_GB2312" w:cs="仿宋_GB2312"/>
          <w:color w:val="auto"/>
          <w:sz w:val="32"/>
          <w:szCs w:val="32"/>
          <w:u w:val="none"/>
          <w:lang w:eastAsia="zh-CN"/>
        </w:rPr>
        <w:t>行动</w:t>
      </w:r>
      <w:r>
        <w:rPr>
          <w:rFonts w:hint="eastAsia" w:ascii="仿宋_GB2312" w:hAnsi="仿宋_GB2312" w:eastAsia="仿宋_GB2312" w:cs="仿宋_GB2312"/>
          <w:color w:val="auto"/>
          <w:sz w:val="32"/>
          <w:szCs w:val="32"/>
          <w:u w:val="none"/>
          <w:lang w:val="en-US" w:eastAsia="zh-CN"/>
        </w:rPr>
        <w:t>工作方案</w:t>
      </w:r>
      <w:r>
        <w:rPr>
          <w:rFonts w:hint="eastAsia" w:ascii="仿宋_GB2312" w:hAnsi="仿宋_GB2312" w:eastAsia="仿宋_GB2312" w:cs="仿宋_GB2312"/>
          <w:color w:val="auto"/>
          <w:sz w:val="32"/>
          <w:szCs w:val="32"/>
          <w:u w:val="none"/>
          <w:lang w:eastAsia="zh-CN"/>
        </w:rPr>
        <w:t>，收集汇总上报大检查</w:t>
      </w:r>
      <w:r>
        <w:rPr>
          <w:rFonts w:hint="eastAsia" w:ascii="仿宋_GB2312" w:hAnsi="仿宋_GB2312" w:eastAsia="仿宋_GB2312" w:cs="仿宋_GB2312"/>
          <w:color w:val="auto"/>
          <w:sz w:val="32"/>
          <w:szCs w:val="32"/>
          <w:u w:val="none"/>
          <w:lang w:val="en-US" w:eastAsia="zh-CN"/>
        </w:rPr>
        <w:t>大整治大提升</w:t>
      </w:r>
      <w:r>
        <w:rPr>
          <w:rFonts w:hint="eastAsia" w:ascii="仿宋_GB2312" w:hAnsi="仿宋_GB2312" w:eastAsia="仿宋_GB2312" w:cs="仿宋_GB2312"/>
          <w:color w:val="auto"/>
          <w:sz w:val="32"/>
          <w:szCs w:val="32"/>
          <w:u w:val="none"/>
          <w:lang w:eastAsia="zh-CN"/>
        </w:rPr>
        <w:t>行动工作进展情况，组织开展督导巡查，完成领导组交办的其他事项。办公室主任由主任科员鲍书琴</w:t>
      </w:r>
      <w:r>
        <w:rPr>
          <w:rFonts w:hint="eastAsia" w:ascii="仿宋_GB2312" w:hAnsi="仿宋_GB2312" w:eastAsia="仿宋_GB2312" w:cs="仿宋_GB2312"/>
          <w:color w:val="auto"/>
          <w:sz w:val="32"/>
          <w:szCs w:val="32"/>
          <w:u w:val="none"/>
        </w:rPr>
        <w:t>兼任。</w:t>
      </w:r>
    </w:p>
    <w:p>
      <w:pPr>
        <w:keepNext w:val="0"/>
        <w:keepLines w:val="0"/>
        <w:pageBreakBefore w:val="0"/>
        <w:widowControl w:val="0"/>
        <w:suppressLineNumbers w:val="0"/>
        <w:kinsoku/>
        <w:overflowPunct/>
        <w:topLinePunct w:val="0"/>
        <w:autoSpaceDE/>
        <w:autoSpaceDN/>
        <w:bidi w:val="0"/>
        <w:adjustRightInd/>
        <w:snapToGrid/>
        <w:spacing w:line="600" w:lineRule="exact"/>
        <w:ind w:right="0" w:rightChars="0" w:firstLine="640" w:firstLineChars="200"/>
        <w:jc w:val="left"/>
        <w:textAlignment w:val="auto"/>
        <w:rPr>
          <w:rFonts w:hint="eastAsia" w:ascii="楷体_GB2312" w:hAnsi="楷体_GB2312" w:eastAsia="楷体_GB2312" w:cs="楷体_GB2312"/>
          <w:b w:val="0"/>
          <w:bCs w:val="0"/>
          <w:color w:val="auto"/>
          <w:spacing w:val="-8"/>
          <w:kern w:val="0"/>
          <w:sz w:val="32"/>
          <w:szCs w:val="32"/>
          <w:u w:val="none"/>
          <w:lang w:val="en-US" w:eastAsia="zh-CN" w:bidi="ar"/>
        </w:rPr>
      </w:pPr>
      <w:r>
        <w:rPr>
          <w:rFonts w:hint="eastAsia" w:ascii="楷体_GB2312" w:hAnsi="楷体_GB2312" w:eastAsia="楷体_GB2312" w:cs="楷体_GB2312"/>
          <w:b w:val="0"/>
          <w:bCs w:val="0"/>
          <w:color w:val="auto"/>
          <w:kern w:val="0"/>
          <w:sz w:val="32"/>
          <w:szCs w:val="32"/>
          <w:u w:val="none"/>
          <w:lang w:val="en-US" w:eastAsia="zh-CN" w:bidi="ar"/>
        </w:rPr>
        <w:t>（</w:t>
      </w:r>
      <w:r>
        <w:rPr>
          <w:rFonts w:hint="eastAsia" w:ascii="楷体_GB2312" w:hAnsi="楷体_GB2312" w:eastAsia="楷体_GB2312" w:cs="楷体_GB2312"/>
          <w:b w:val="0"/>
          <w:bCs w:val="0"/>
          <w:color w:val="auto"/>
          <w:spacing w:val="-8"/>
          <w:kern w:val="0"/>
          <w:sz w:val="32"/>
          <w:szCs w:val="32"/>
          <w:u w:val="none"/>
          <w:lang w:val="en-US" w:eastAsia="zh-CN" w:bidi="ar"/>
        </w:rPr>
        <w:t>二）成立镇安全生产大检查大整治大提升行动专项领导组</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煤矿、危险化学品、交通运输、建筑施工、燃气、消防、民爆、工贸、特种设备、文化旅游、危废处置、电力等行业领域以及打击非法违法开采矿产资源分别成立安全生产大检查大整治大提升行动专项领导组，组长由镇长担任，副组长由分管领导担任，成员由牵头部门根据有关部门职责提出并报专项领导组组长审定。专项领导组负责本行业领域安全生产大检查大整治大提升行动专项工作方案的制定和组织实施；其他行业领域根据实际参照执行。</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安全生产大检查大整治大提升行动专项领导组办公室设在行业领域主管部门，办公室主任由镇政府分管领导担任，负责本行业领域安全生产大检查大整治大提升行动的方案制定、组织实施等工作。</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textAlignment w:val="auto"/>
        <w:rPr>
          <w:rFonts w:ascii="黑体" w:hAnsi="黑体" w:eastAsia="黑体" w:cs="黑体"/>
          <w:color w:val="auto"/>
          <w:kern w:val="0"/>
          <w:sz w:val="32"/>
          <w:szCs w:val="32"/>
          <w:u w:val="none"/>
        </w:rPr>
      </w:pPr>
      <w:r>
        <w:rPr>
          <w:rFonts w:hint="eastAsia" w:ascii="黑体" w:hAnsi="黑体" w:eastAsia="黑体" w:cs="黑体"/>
          <w:color w:val="auto"/>
          <w:kern w:val="0"/>
          <w:sz w:val="32"/>
          <w:szCs w:val="32"/>
          <w:u w:val="none"/>
        </w:rPr>
        <w:t>三、</w:t>
      </w:r>
      <w:r>
        <w:rPr>
          <w:rFonts w:hint="eastAsia" w:ascii="黑体" w:hAnsi="黑体" w:eastAsia="黑体" w:cs="黑体"/>
          <w:color w:val="auto"/>
          <w:kern w:val="0"/>
          <w:sz w:val="32"/>
          <w:szCs w:val="32"/>
          <w:u w:val="none"/>
          <w:lang w:val="en-US" w:eastAsia="zh-CN"/>
        </w:rPr>
        <w:t>主要</w:t>
      </w:r>
      <w:r>
        <w:rPr>
          <w:rFonts w:hint="eastAsia" w:ascii="黑体" w:hAnsi="黑体" w:eastAsia="黑体" w:cs="黑体"/>
          <w:color w:val="auto"/>
          <w:kern w:val="0"/>
          <w:sz w:val="32"/>
          <w:szCs w:val="32"/>
          <w:u w:val="none"/>
        </w:rPr>
        <w:t>内容</w:t>
      </w:r>
    </w:p>
    <w:p>
      <w:pPr>
        <w:keepNext w:val="0"/>
        <w:keepLines w:val="0"/>
        <w:pageBreakBefore w:val="0"/>
        <w:widowControl w:val="0"/>
        <w:suppressLineNumbers w:val="0"/>
        <w:kinsoku/>
        <w:overflowPunct/>
        <w:topLinePunct w:val="0"/>
        <w:autoSpaceDE/>
        <w:autoSpaceDN/>
        <w:bidi w:val="0"/>
        <w:adjustRightInd/>
        <w:snapToGrid/>
        <w:spacing w:line="600" w:lineRule="exact"/>
        <w:ind w:right="0" w:rightChars="0" w:firstLine="640" w:firstLineChars="200"/>
        <w:jc w:val="left"/>
        <w:textAlignment w:val="auto"/>
        <w:rPr>
          <w:rFonts w:hint="eastAsia" w:ascii="楷体_GB2312" w:hAnsi="楷体_GB2312" w:eastAsia="楷体_GB2312" w:cs="楷体_GB2312"/>
          <w:b w:val="0"/>
          <w:bCs w:val="0"/>
          <w:color w:val="auto"/>
          <w:kern w:val="0"/>
          <w:sz w:val="32"/>
          <w:szCs w:val="32"/>
          <w:u w:val="none"/>
          <w:lang w:val="en-US" w:eastAsia="zh-CN" w:bidi="ar"/>
        </w:rPr>
      </w:pPr>
      <w:r>
        <w:rPr>
          <w:rFonts w:hint="eastAsia" w:ascii="楷体_GB2312" w:hAnsi="楷体_GB2312" w:eastAsia="楷体_GB2312" w:cs="楷体_GB2312"/>
          <w:b w:val="0"/>
          <w:bCs w:val="0"/>
          <w:color w:val="auto"/>
          <w:kern w:val="0"/>
          <w:sz w:val="32"/>
          <w:szCs w:val="32"/>
          <w:u w:val="none"/>
          <w:lang w:val="en-US" w:eastAsia="zh-CN" w:bidi="ar"/>
        </w:rPr>
        <w:t>（一）严格落实地方党委安全生产责任方面</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严格落实《地方党政领导干部安全生产责任制规定》</w:t>
      </w:r>
      <w:r>
        <w:rPr>
          <w:rFonts w:hint="eastAsia" w:ascii="仿宋_GB2312" w:hAnsi="仿宋_GB2312" w:eastAsia="仿宋_GB2312" w:cs="仿宋_GB2312"/>
          <w:color w:val="auto"/>
          <w:sz w:val="32"/>
          <w:szCs w:val="32"/>
          <w:u w:val="none"/>
          <w:lang w:eastAsia="zh-CN"/>
        </w:rPr>
        <w:t>和</w:t>
      </w:r>
      <w:r>
        <w:rPr>
          <w:rFonts w:hint="eastAsia" w:ascii="仿宋_GB2312" w:hAnsi="仿宋_GB2312" w:eastAsia="仿宋_GB2312" w:cs="仿宋_GB2312"/>
          <w:color w:val="auto"/>
          <w:sz w:val="32"/>
          <w:szCs w:val="32"/>
          <w:u w:val="none"/>
        </w:rPr>
        <w:t>“党政同责、一岗双责、齐抓共管、失职追责”</w:t>
      </w:r>
      <w:r>
        <w:rPr>
          <w:rFonts w:hint="eastAsia" w:ascii="仿宋_GB2312" w:hAnsi="仿宋_GB2312" w:eastAsia="仿宋_GB2312" w:cs="仿宋_GB2312"/>
          <w:color w:val="auto"/>
          <w:sz w:val="32"/>
          <w:szCs w:val="32"/>
          <w:u w:val="none"/>
          <w:lang w:val="en-US" w:eastAsia="zh-CN"/>
        </w:rPr>
        <w:t>的安全生产责任体系</w:t>
      </w:r>
      <w:r>
        <w:rPr>
          <w:rFonts w:hint="eastAsia" w:ascii="仿宋_GB2312" w:hAnsi="仿宋_GB2312" w:eastAsia="仿宋_GB2312" w:cs="仿宋_GB2312"/>
          <w:color w:val="auto"/>
          <w:sz w:val="32"/>
          <w:szCs w:val="32"/>
          <w:u w:val="none"/>
        </w:rPr>
        <w:t>，综合运用巡查督查、考核考察、激励惩戒等措施加强对安全生产工作的组织领导。</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w:t>
      </w:r>
      <w:r>
        <w:rPr>
          <w:rFonts w:hint="eastAsia" w:ascii="仿宋_GB2312" w:hAnsi="仿宋_GB2312" w:eastAsia="仿宋_GB2312" w:cs="仿宋_GB2312"/>
          <w:color w:val="auto"/>
          <w:sz w:val="32"/>
          <w:szCs w:val="32"/>
          <w:u w:val="none"/>
          <w:lang w:val="en-US" w:eastAsia="zh-CN"/>
        </w:rPr>
        <w:t>.各村要把安全生产纳入支部议事日程，主干要亲力亲为、靠前协调，</w:t>
      </w:r>
      <w:r>
        <w:rPr>
          <w:rFonts w:hint="eastAsia" w:ascii="仿宋_GB2312" w:hAnsi="仿宋_GB2312" w:eastAsia="仿宋_GB2312" w:cs="仿宋_GB2312"/>
          <w:color w:val="auto"/>
          <w:sz w:val="32"/>
          <w:szCs w:val="32"/>
          <w:u w:val="none"/>
        </w:rPr>
        <w:t>每季度至少召开一次会议，</w:t>
      </w:r>
      <w:r>
        <w:rPr>
          <w:rFonts w:hint="eastAsia" w:ascii="仿宋_GB2312" w:hAnsi="仿宋_GB2312" w:eastAsia="仿宋_GB2312" w:cs="仿宋_GB2312"/>
          <w:color w:val="auto"/>
          <w:sz w:val="32"/>
          <w:szCs w:val="32"/>
          <w:u w:val="none"/>
          <w:lang w:val="en-US" w:eastAsia="zh-CN"/>
        </w:rPr>
        <w:t>听取各分管领导安全生产形势分析汇报，</w:t>
      </w:r>
      <w:r>
        <w:rPr>
          <w:rFonts w:hint="eastAsia" w:ascii="仿宋_GB2312" w:hAnsi="仿宋_GB2312" w:eastAsia="仿宋_GB2312" w:cs="仿宋_GB2312"/>
          <w:color w:val="auto"/>
          <w:sz w:val="32"/>
          <w:szCs w:val="32"/>
          <w:u w:val="none"/>
        </w:rPr>
        <w:t>研究</w:t>
      </w:r>
      <w:r>
        <w:rPr>
          <w:rFonts w:hint="eastAsia" w:ascii="仿宋_GB2312" w:hAnsi="仿宋_GB2312" w:eastAsia="仿宋_GB2312" w:cs="仿宋_GB2312"/>
          <w:color w:val="auto"/>
          <w:sz w:val="32"/>
          <w:szCs w:val="32"/>
          <w:u w:val="none"/>
          <w:lang w:eastAsia="zh-CN"/>
        </w:rPr>
        <w:t>解决</w:t>
      </w:r>
      <w:r>
        <w:rPr>
          <w:rFonts w:hint="eastAsia" w:ascii="仿宋_GB2312" w:hAnsi="仿宋_GB2312" w:eastAsia="仿宋_GB2312" w:cs="仿宋_GB2312"/>
          <w:color w:val="auto"/>
          <w:sz w:val="32"/>
          <w:szCs w:val="32"/>
          <w:u w:val="none"/>
        </w:rPr>
        <w:t>安全监管部门领导班子、干部队伍建设等体制机制问题</w:t>
      </w:r>
      <w:r>
        <w:rPr>
          <w:rFonts w:hint="eastAsia" w:ascii="仿宋_GB2312" w:hAnsi="仿宋_GB2312" w:eastAsia="仿宋_GB2312" w:cs="仿宋_GB2312"/>
          <w:color w:val="auto"/>
          <w:sz w:val="32"/>
          <w:szCs w:val="32"/>
          <w:u w:val="none"/>
          <w:lang w:eastAsia="zh-CN"/>
        </w:rPr>
        <w:t>，真正抓具体、抓扎实、抓出成效，严防大而化之、原则领导</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3.将习近平总书记关于安全生产重要论述纳入</w:t>
      </w:r>
      <w:r>
        <w:rPr>
          <w:rFonts w:hint="eastAsia" w:ascii="仿宋_GB2312" w:hAnsi="仿宋_GB2312" w:eastAsia="仿宋_GB2312" w:cs="仿宋_GB2312"/>
          <w:color w:val="auto"/>
          <w:sz w:val="32"/>
          <w:szCs w:val="32"/>
          <w:u w:val="none"/>
          <w:lang w:eastAsia="zh-CN"/>
        </w:rPr>
        <w:t>支部</w:t>
      </w:r>
      <w:r>
        <w:rPr>
          <w:rFonts w:hint="eastAsia" w:ascii="仿宋_GB2312" w:hAnsi="仿宋_GB2312" w:eastAsia="仿宋_GB2312" w:cs="仿宋_GB2312"/>
          <w:color w:val="auto"/>
          <w:sz w:val="32"/>
          <w:szCs w:val="32"/>
          <w:u w:val="none"/>
          <w:lang w:val="en-US" w:eastAsia="zh-CN"/>
        </w:rPr>
        <w:t>理论学习重要议题，</w:t>
      </w:r>
      <w:r>
        <w:rPr>
          <w:rFonts w:hint="eastAsia" w:ascii="仿宋_GB2312" w:hAnsi="仿宋_GB2312" w:eastAsia="仿宋_GB2312" w:cs="仿宋_GB2312"/>
          <w:color w:val="auto"/>
          <w:sz w:val="32"/>
          <w:szCs w:val="32"/>
          <w:u w:val="none"/>
        </w:rPr>
        <w:t>各级</w:t>
      </w:r>
      <w:r>
        <w:rPr>
          <w:rFonts w:hint="eastAsia" w:ascii="仿宋_GB2312" w:hAnsi="仿宋_GB2312" w:eastAsia="仿宋_GB2312" w:cs="仿宋_GB2312"/>
          <w:color w:val="auto"/>
          <w:sz w:val="32"/>
          <w:szCs w:val="32"/>
          <w:u w:val="none"/>
          <w:lang w:eastAsia="zh-CN"/>
        </w:rPr>
        <w:t>支部</w:t>
      </w:r>
      <w:r>
        <w:rPr>
          <w:rFonts w:hint="eastAsia" w:ascii="仿宋_GB2312" w:hAnsi="仿宋_GB2312" w:eastAsia="仿宋_GB2312" w:cs="仿宋_GB2312"/>
          <w:color w:val="auto"/>
          <w:sz w:val="32"/>
          <w:szCs w:val="32"/>
          <w:u w:val="none"/>
        </w:rPr>
        <w:t>理论学习中心组每季度至少跟进学习贯彻习近平总书记关于安全生产重要论述一次，统筹好发展和安全，不断提升安全生产治理能力。</w:t>
      </w:r>
      <w:r>
        <w:rPr>
          <w:rFonts w:hint="eastAsia" w:ascii="仿宋_GB2312" w:hAnsi="仿宋_GB2312" w:eastAsia="仿宋_GB2312" w:cs="仿宋_GB2312"/>
          <w:color w:val="auto"/>
          <w:sz w:val="32"/>
          <w:szCs w:val="32"/>
          <w:u w:val="none"/>
          <w:lang w:val="en-US" w:eastAsia="zh-CN"/>
        </w:rPr>
        <w:t>将习近平总书记关于安全生产重要指示批示精神推进落实情况纳入党委政治监督范畴。</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lang w:eastAsia="zh-CN"/>
        </w:rPr>
        <w:t>按</w:t>
      </w:r>
      <w:r>
        <w:rPr>
          <w:rFonts w:hint="eastAsia" w:ascii="仿宋_GB2312" w:hAnsi="仿宋_GB2312" w:eastAsia="仿宋_GB2312" w:cs="仿宋_GB2312"/>
          <w:color w:val="auto"/>
          <w:sz w:val="32"/>
          <w:szCs w:val="32"/>
          <w:u w:val="none"/>
        </w:rPr>
        <w:t>照《地方党政领导干部安全生产责任制</w:t>
      </w:r>
      <w:r>
        <w:rPr>
          <w:rFonts w:hint="eastAsia" w:ascii="仿宋_GB2312" w:hAnsi="仿宋_GB2312" w:eastAsia="仿宋_GB2312" w:cs="仿宋_GB2312"/>
          <w:color w:val="auto"/>
          <w:sz w:val="32"/>
          <w:szCs w:val="32"/>
          <w:u w:val="none"/>
          <w:lang w:eastAsia="zh-CN"/>
        </w:rPr>
        <w:t>规定</w:t>
      </w:r>
      <w:r>
        <w:rPr>
          <w:rFonts w:hint="eastAsia" w:ascii="仿宋_GB2312" w:hAnsi="仿宋_GB2312" w:eastAsia="仿宋_GB2312" w:cs="仿宋_GB2312"/>
          <w:color w:val="auto"/>
          <w:sz w:val="32"/>
          <w:szCs w:val="32"/>
          <w:u w:val="none"/>
        </w:rPr>
        <w:t>》和《安全生产法》规定，结合年度安全生产和消防工作</w:t>
      </w:r>
      <w:r>
        <w:rPr>
          <w:rFonts w:hint="eastAsia" w:ascii="仿宋_GB2312" w:hAnsi="仿宋_GB2312" w:eastAsia="仿宋_GB2312" w:cs="仿宋_GB2312"/>
          <w:color w:val="auto"/>
          <w:sz w:val="32"/>
          <w:szCs w:val="32"/>
          <w:u w:val="none"/>
          <w:lang w:eastAsia="zh-CN"/>
        </w:rPr>
        <w:t>、防灾减灾救灾等</w:t>
      </w:r>
      <w:r>
        <w:rPr>
          <w:rFonts w:hint="eastAsia" w:ascii="仿宋_GB2312" w:hAnsi="仿宋_GB2312" w:eastAsia="仿宋_GB2312" w:cs="仿宋_GB2312"/>
          <w:color w:val="auto"/>
          <w:sz w:val="32"/>
          <w:szCs w:val="32"/>
          <w:u w:val="none"/>
        </w:rPr>
        <w:t>目标责任考核，对在加强安全生产工作、承担安全生产专项重要工作、改善安全生产条件、防止生产安全事故、参加抢险救</w:t>
      </w:r>
      <w:r>
        <w:rPr>
          <w:rFonts w:hint="eastAsia" w:ascii="仿宋_GB2312" w:hAnsi="仿宋_GB2312" w:eastAsia="仿宋_GB2312" w:cs="仿宋_GB2312"/>
          <w:strike w:val="0"/>
          <w:dstrike w:val="0"/>
          <w:color w:val="auto"/>
          <w:sz w:val="32"/>
          <w:szCs w:val="32"/>
          <w:u w:val="none"/>
        </w:rPr>
        <w:t>护</w:t>
      </w:r>
      <w:r>
        <w:rPr>
          <w:rFonts w:hint="eastAsia" w:ascii="仿宋_GB2312" w:hAnsi="仿宋_GB2312" w:eastAsia="仿宋_GB2312" w:cs="仿宋_GB2312"/>
          <w:color w:val="auto"/>
          <w:sz w:val="32"/>
          <w:szCs w:val="32"/>
          <w:u w:val="none"/>
        </w:rPr>
        <w:t>等方面作出显著成绩和重要贡献的单位和个人给予表彰奖励。</w:t>
      </w:r>
    </w:p>
    <w:p>
      <w:pPr>
        <w:keepNext w:val="0"/>
        <w:keepLines w:val="0"/>
        <w:pageBreakBefore w:val="0"/>
        <w:widowControl w:val="0"/>
        <w:suppressLineNumbers w:val="0"/>
        <w:kinsoku/>
        <w:overflowPunct/>
        <w:topLinePunct w:val="0"/>
        <w:autoSpaceDE/>
        <w:autoSpaceDN/>
        <w:bidi w:val="0"/>
        <w:adjustRightInd/>
        <w:snapToGrid/>
        <w:spacing w:line="600" w:lineRule="exact"/>
        <w:ind w:right="0" w:rightChars="0" w:firstLine="640" w:firstLineChars="200"/>
        <w:jc w:val="left"/>
        <w:textAlignment w:val="auto"/>
        <w:rPr>
          <w:rFonts w:hint="eastAsia" w:ascii="楷体_GB2312" w:hAnsi="楷体_GB2312" w:eastAsia="楷体_GB2312" w:cs="楷体_GB2312"/>
          <w:b w:val="0"/>
          <w:bCs w:val="0"/>
          <w:color w:val="auto"/>
          <w:kern w:val="0"/>
          <w:sz w:val="32"/>
          <w:szCs w:val="32"/>
          <w:u w:val="none"/>
          <w:lang w:val="en-US" w:eastAsia="zh-CN" w:bidi="ar"/>
        </w:rPr>
      </w:pPr>
      <w:r>
        <w:rPr>
          <w:rFonts w:hint="eastAsia" w:ascii="楷体_GB2312" w:hAnsi="楷体_GB2312" w:eastAsia="楷体_GB2312" w:cs="楷体_GB2312"/>
          <w:b w:val="0"/>
          <w:bCs w:val="0"/>
          <w:color w:val="auto"/>
          <w:kern w:val="0"/>
          <w:sz w:val="32"/>
          <w:szCs w:val="32"/>
          <w:u w:val="none"/>
          <w:lang w:val="en-US" w:eastAsia="zh-CN" w:bidi="ar"/>
        </w:rPr>
        <w:t>（二）严格落实地方政府安全生产责任方面</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5.各村要把安全发展理念具体落实到经济社会发展各领域、各环节，</w:t>
      </w:r>
      <w:r>
        <w:rPr>
          <w:rFonts w:hint="eastAsia" w:ascii="仿宋_GB2312" w:hAnsi="仿宋_GB2312" w:eastAsia="仿宋_GB2312" w:cs="仿宋_GB2312"/>
          <w:color w:val="auto"/>
          <w:sz w:val="32"/>
          <w:szCs w:val="32"/>
          <w:u w:val="none"/>
        </w:rPr>
        <w:t>制定落实政府领导安全生产“职责清单”和年度重点工作“任务清单”。</w:t>
      </w:r>
    </w:p>
    <w:p>
      <w:pPr>
        <w:keepNext w:val="0"/>
        <w:keepLines w:val="0"/>
        <w:pageBreakBefore w:val="0"/>
        <w:widowControl w:val="0"/>
        <w:suppressLineNumbers w:val="0"/>
        <w:kinsoku/>
        <w:overflowPunct/>
        <w:topLinePunct w:val="0"/>
        <w:autoSpaceDE/>
        <w:autoSpaceDN/>
        <w:bidi w:val="0"/>
        <w:adjustRightInd/>
        <w:snapToGrid/>
        <w:spacing w:line="574" w:lineRule="exact"/>
        <w:ind w:left="0" w:leftChars="0" w:right="0" w:rightChars="0" w:firstLine="640" w:firstLineChars="200"/>
        <w:jc w:val="left"/>
        <w:textAlignment w:val="auto"/>
        <w:outlineLvl w:val="9"/>
        <w:rPr>
          <w:rFonts w:hint="eastAsia" w:ascii="楷体_GB2312" w:hAnsi="楷体_GB2312" w:eastAsia="楷体_GB2312" w:cs="楷体_GB2312"/>
          <w:b w:val="0"/>
          <w:bCs w:val="0"/>
          <w:color w:val="auto"/>
          <w:kern w:val="0"/>
          <w:sz w:val="32"/>
          <w:szCs w:val="32"/>
          <w:u w:val="none"/>
          <w:lang w:val="en-US" w:eastAsia="zh-CN" w:bidi="ar"/>
        </w:rPr>
      </w:pPr>
      <w:r>
        <w:rPr>
          <w:rFonts w:hint="eastAsia" w:ascii="楷体_GB2312" w:hAnsi="楷体_GB2312" w:eastAsia="楷体_GB2312" w:cs="楷体_GB2312"/>
          <w:b w:val="0"/>
          <w:bCs w:val="0"/>
          <w:color w:val="auto"/>
          <w:kern w:val="0"/>
          <w:sz w:val="32"/>
          <w:szCs w:val="32"/>
          <w:u w:val="none"/>
          <w:lang w:val="en-US" w:eastAsia="zh-CN" w:bidi="ar"/>
        </w:rPr>
        <w:t>（三）严格落实部门安全监管责任方面</w:t>
      </w:r>
    </w:p>
    <w:p>
      <w:pPr>
        <w:keepNext w:val="0"/>
        <w:keepLines w:val="0"/>
        <w:pageBreakBefore w:val="0"/>
        <w:widowControl w:val="0"/>
        <w:kinsoku/>
        <w:wordWrap w:val="0"/>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6.煤矿、非煤矿山、危险化学品、交通运输、建筑施工、燃气、消防、民爆、工贸、文化旅游等行业领域施行</w:t>
      </w:r>
      <w:r>
        <w:rPr>
          <w:rFonts w:hint="eastAsia" w:ascii="仿宋_GB2312" w:hAnsi="仿宋_GB2312" w:eastAsia="仿宋_GB2312" w:cs="仿宋_GB2312"/>
          <w:color w:val="auto"/>
          <w:sz w:val="32"/>
          <w:szCs w:val="32"/>
          <w:u w:val="none"/>
          <w:lang w:eastAsia="zh-CN"/>
        </w:rPr>
        <w:t>安全生产挂牌责任制，同时推进其他行业领域施行安全生产挂牌责任制，</w:t>
      </w:r>
      <w:r>
        <w:rPr>
          <w:rFonts w:hint="eastAsia" w:ascii="仿宋_GB2312" w:hAnsi="仿宋_GB2312" w:eastAsia="仿宋_GB2312" w:cs="仿宋_GB2312"/>
          <w:color w:val="auto"/>
          <w:sz w:val="32"/>
          <w:szCs w:val="32"/>
          <w:u w:val="none"/>
          <w:lang w:val="en-US" w:eastAsia="zh-CN"/>
        </w:rPr>
        <w:t>压实</w:t>
      </w:r>
      <w:r>
        <w:rPr>
          <w:rFonts w:hint="eastAsia" w:ascii="仿宋_GB2312" w:hAnsi="仿宋_GB2312" w:eastAsia="仿宋_GB2312" w:cs="仿宋_GB2312"/>
          <w:color w:val="auto"/>
          <w:sz w:val="32"/>
          <w:szCs w:val="32"/>
          <w:u w:val="none"/>
        </w:rPr>
        <w:t>属地部门</w:t>
      </w:r>
      <w:r>
        <w:rPr>
          <w:rFonts w:hint="eastAsia" w:ascii="仿宋_GB2312" w:hAnsi="仿宋_GB2312" w:eastAsia="仿宋_GB2312" w:cs="仿宋_GB2312"/>
          <w:color w:val="auto"/>
          <w:sz w:val="32"/>
          <w:szCs w:val="32"/>
          <w:u w:val="none"/>
          <w:lang w:eastAsia="zh-CN"/>
        </w:rPr>
        <w:t>、企业安全监督和管理责任</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val="0"/>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各有关</w:t>
      </w:r>
      <w:r>
        <w:rPr>
          <w:rFonts w:hint="eastAsia" w:ascii="仿宋_GB2312" w:hAnsi="仿宋_GB2312" w:eastAsia="仿宋_GB2312" w:cs="仿宋_GB2312"/>
          <w:color w:val="auto"/>
          <w:sz w:val="32"/>
          <w:szCs w:val="32"/>
          <w:u w:val="none"/>
          <w:lang w:eastAsia="zh-CN"/>
        </w:rPr>
        <w:t>站所</w:t>
      </w:r>
      <w:r>
        <w:rPr>
          <w:rFonts w:hint="eastAsia" w:ascii="仿宋_GB2312" w:hAnsi="仿宋_GB2312" w:eastAsia="仿宋_GB2312" w:cs="仿宋_GB2312"/>
          <w:color w:val="auto"/>
          <w:sz w:val="32"/>
          <w:szCs w:val="32"/>
          <w:u w:val="none"/>
        </w:rPr>
        <w:t>要按照“三管三必须”和“谁主管谁负责”的原则，依法依规编制安全生产权力和责任清单，</w:t>
      </w:r>
      <w:r>
        <w:rPr>
          <w:rFonts w:hint="eastAsia" w:ascii="仿宋_GB2312" w:hAnsi="仿宋_GB2312" w:eastAsia="仿宋_GB2312" w:cs="仿宋_GB2312"/>
          <w:color w:val="auto"/>
          <w:sz w:val="32"/>
          <w:szCs w:val="32"/>
          <w:u w:val="none"/>
          <w:lang w:eastAsia="zh-CN"/>
        </w:rPr>
        <w:t>制定年度执法监督检查计划，并报同级纪委监委接受</w:t>
      </w:r>
      <w:r>
        <w:rPr>
          <w:rFonts w:hint="eastAsia" w:ascii="仿宋_GB2312" w:hAnsi="仿宋_GB2312" w:eastAsia="仿宋_GB2312" w:cs="仿宋_GB2312"/>
          <w:color w:val="auto"/>
          <w:sz w:val="32"/>
          <w:szCs w:val="32"/>
          <w:u w:val="none"/>
        </w:rPr>
        <w:t>监督。负有安全生产监督管理职责的部门要建立健全问题清单、措施清单、责任清单“三个清单”，实施照单履职机制。</w:t>
      </w:r>
    </w:p>
    <w:p>
      <w:pPr>
        <w:keepNext w:val="0"/>
        <w:keepLines w:val="0"/>
        <w:pageBreakBefore w:val="0"/>
        <w:widowControl w:val="0"/>
        <w:kinsoku/>
        <w:wordWrap w:val="0"/>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楷体_GB2312" w:hAnsi="楷体_GB2312" w:eastAsia="楷体_GB2312" w:cs="楷体_GB2312"/>
          <w:b w:val="0"/>
          <w:bCs w:val="0"/>
          <w:color w:val="auto"/>
          <w:spacing w:val="-6"/>
          <w:kern w:val="0"/>
          <w:sz w:val="32"/>
          <w:szCs w:val="32"/>
          <w:highlight w:val="none"/>
          <w:u w:val="none"/>
          <w:lang w:val="en-US" w:eastAsia="zh-CN" w:bidi="ar"/>
        </w:rPr>
      </w:pPr>
      <w:r>
        <w:rPr>
          <w:rFonts w:hint="eastAsia" w:ascii="楷体_GB2312" w:hAnsi="楷体_GB2312" w:eastAsia="楷体_GB2312" w:cs="楷体_GB2312"/>
          <w:b w:val="0"/>
          <w:bCs w:val="0"/>
          <w:color w:val="auto"/>
          <w:kern w:val="0"/>
          <w:sz w:val="32"/>
          <w:szCs w:val="32"/>
          <w:highlight w:val="none"/>
          <w:u w:val="none"/>
          <w:lang w:val="en-US" w:eastAsia="zh-CN" w:bidi="ar"/>
        </w:rPr>
        <w:t>（</w:t>
      </w:r>
      <w:r>
        <w:rPr>
          <w:rFonts w:hint="eastAsia" w:ascii="楷体_GB2312" w:hAnsi="楷体_GB2312" w:eastAsia="楷体_GB2312" w:cs="楷体_GB2312"/>
          <w:b w:val="0"/>
          <w:bCs w:val="0"/>
          <w:color w:val="auto"/>
          <w:spacing w:val="-6"/>
          <w:kern w:val="0"/>
          <w:sz w:val="32"/>
          <w:szCs w:val="32"/>
          <w:highlight w:val="none"/>
          <w:u w:val="none"/>
          <w:lang w:val="en-US" w:eastAsia="zh-CN" w:bidi="ar"/>
        </w:rPr>
        <w:t>五）企业主要负责人必须严格履行第一责任人的责任方面</w:t>
      </w:r>
    </w:p>
    <w:p>
      <w:pPr>
        <w:keepNext w:val="0"/>
        <w:keepLines w:val="0"/>
        <w:pageBreakBefore w:val="0"/>
        <w:widowControl w:val="0"/>
        <w:kinsoku/>
        <w:wordWrap w:val="0"/>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仿宋_GB2312" w:hAnsi="楷体_GB2312" w:eastAsia="仿宋_GB2312" w:cs="楷体_GB2312"/>
          <w:color w:val="auto"/>
          <w:sz w:val="32"/>
          <w:szCs w:val="32"/>
          <w:u w:val="none"/>
          <w:lang w:val="en-US" w:eastAsia="zh-CN"/>
        </w:rPr>
      </w:pP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sans-serif" w:eastAsia="仿宋_GB2312" w:cs="仿宋_GB2312"/>
          <w:b w:val="0"/>
          <w:bCs/>
          <w:i w:val="0"/>
          <w:caps w:val="0"/>
          <w:color w:val="auto"/>
          <w:spacing w:val="0"/>
          <w:sz w:val="32"/>
          <w:szCs w:val="32"/>
          <w:shd w:val="clear" w:color="auto" w:fill="FFFFFF"/>
          <w:lang w:eastAsia="zh-CN"/>
        </w:rPr>
        <w:t>严格贯彻落实《山西省生产经营单位主要负责人安全生产责任制规定》</w:t>
      </w:r>
      <w:r>
        <w:rPr>
          <w:rFonts w:hint="default" w:ascii="仿宋_GB2312" w:hAnsi="sans-serif" w:eastAsia="仿宋_GB2312" w:cs="仿宋_GB2312"/>
          <w:b w:val="0"/>
          <w:bCs/>
          <w:i w:val="0"/>
          <w:caps w:val="0"/>
          <w:color w:val="auto"/>
          <w:spacing w:val="0"/>
          <w:sz w:val="32"/>
          <w:szCs w:val="32"/>
          <w:shd w:val="clear" w:color="auto" w:fill="FFFFFF"/>
          <w:lang w:eastAsia="zh-CN"/>
        </w:rPr>
        <w:t>，</w:t>
      </w:r>
      <w:r>
        <w:rPr>
          <w:rFonts w:hint="eastAsia" w:ascii="仿宋_GB2312" w:hAnsi="sans-serif" w:eastAsia="仿宋_GB2312" w:cs="仿宋_GB2312"/>
          <w:b w:val="0"/>
          <w:i w:val="0"/>
          <w:caps w:val="0"/>
          <w:color w:val="auto"/>
          <w:spacing w:val="0"/>
          <w:sz w:val="32"/>
          <w:szCs w:val="32"/>
          <w:shd w:val="clear" w:color="auto" w:fill="FFFFFF"/>
          <w:lang w:eastAsia="zh-CN"/>
        </w:rPr>
        <w:t>生产经营单位</w:t>
      </w:r>
      <w:r>
        <w:rPr>
          <w:rFonts w:hint="default" w:ascii="仿宋_GB2312" w:hAnsi="sans-serif" w:eastAsia="仿宋_GB2312" w:cs="仿宋_GB2312"/>
          <w:b w:val="0"/>
          <w:i w:val="0"/>
          <w:caps w:val="0"/>
          <w:color w:val="auto"/>
          <w:spacing w:val="0"/>
          <w:sz w:val="32"/>
          <w:szCs w:val="32"/>
          <w:shd w:val="clear" w:color="auto" w:fill="FFFFFF"/>
          <w:lang w:eastAsia="zh-CN"/>
        </w:rPr>
        <w:t>法定代表人、实际控制人、实际负责人</w:t>
      </w:r>
      <w:r>
        <w:rPr>
          <w:rFonts w:hint="eastAsia" w:ascii="仿宋_GB2312" w:hAnsi="sans-serif" w:eastAsia="仿宋_GB2312" w:cs="仿宋_GB2312"/>
          <w:b w:val="0"/>
          <w:i w:val="0"/>
          <w:caps w:val="0"/>
          <w:color w:val="auto"/>
          <w:spacing w:val="0"/>
          <w:sz w:val="32"/>
          <w:szCs w:val="32"/>
          <w:shd w:val="clear" w:color="auto" w:fill="FFFFFF"/>
          <w:lang w:eastAsia="zh-CN"/>
        </w:rPr>
        <w:t>要</w:t>
      </w:r>
      <w:r>
        <w:rPr>
          <w:rFonts w:hint="default" w:ascii="仿宋_GB2312" w:hAnsi="sans-serif" w:eastAsia="仿宋_GB2312" w:cs="仿宋_GB2312"/>
          <w:b w:val="0"/>
          <w:i w:val="0"/>
          <w:caps w:val="0"/>
          <w:color w:val="auto"/>
          <w:spacing w:val="0"/>
          <w:sz w:val="32"/>
          <w:szCs w:val="32"/>
          <w:shd w:val="clear" w:color="auto" w:fill="FFFFFF"/>
          <w:lang w:eastAsia="zh-CN"/>
        </w:rPr>
        <w:t>严格履行安全生产第一责任人责任，对本单位安全生产负总责</w:t>
      </w:r>
      <w:r>
        <w:rPr>
          <w:rFonts w:hint="eastAsia" w:ascii="仿宋_GB2312" w:hAnsi="sans-serif" w:eastAsia="仿宋_GB2312" w:cs="仿宋_GB2312"/>
          <w:b w:val="0"/>
          <w:i w:val="0"/>
          <w:caps w:val="0"/>
          <w:color w:val="auto"/>
          <w:spacing w:val="0"/>
          <w:sz w:val="32"/>
          <w:szCs w:val="32"/>
          <w:shd w:val="clear" w:color="auto" w:fill="FFFFFF"/>
          <w:lang w:eastAsia="zh-CN"/>
        </w:rPr>
        <w:t>，</w:t>
      </w:r>
      <w:r>
        <w:rPr>
          <w:rFonts w:hint="eastAsia" w:ascii="仿宋_GB2312" w:hAnsi="楷体_GB2312" w:eastAsia="仿宋_GB2312" w:cs="楷体_GB2312"/>
          <w:color w:val="auto"/>
          <w:sz w:val="32"/>
          <w:szCs w:val="32"/>
          <w:u w:val="none"/>
          <w:lang w:val="en-US" w:eastAsia="zh-CN"/>
        </w:rPr>
        <w:t>全面落实《安全生产法》七项职责以及安全生产责任制规定、主要负责人承诺制内容。健全完善双重预防机制，组织开展安全生产标准化达标和安全文化示范企业创建活动。重点行业领域企业每年向行业安全监管部门进行安全述职，其他企业推行向行业安全监管部门述职。</w:t>
      </w:r>
    </w:p>
    <w:p>
      <w:pPr>
        <w:keepNext w:val="0"/>
        <w:keepLines w:val="0"/>
        <w:pageBreakBefore w:val="0"/>
        <w:widowControl w:val="0"/>
        <w:kinsoku/>
        <w:wordWrap w:val="0"/>
        <w:overflowPunct/>
        <w:topLinePunct w:val="0"/>
        <w:autoSpaceDE/>
        <w:autoSpaceDN/>
        <w:bidi w:val="0"/>
        <w:adjustRightInd/>
        <w:snapToGrid/>
        <w:spacing w:line="574" w:lineRule="exact"/>
        <w:ind w:left="0" w:leftChars="0" w:right="0" w:rightChars="0" w:firstLine="640" w:firstLineChars="200"/>
        <w:textAlignment w:val="auto"/>
        <w:outlineLvl w:val="9"/>
        <w:rPr>
          <w:rFonts w:hint="default" w:ascii="仿宋_GB2312" w:hAnsi="sans-serif" w:eastAsia="仿宋_GB2312" w:cs="仿宋_GB2312"/>
          <w:b w:val="0"/>
          <w:i w:val="0"/>
          <w:caps w:val="0"/>
          <w:color w:val="auto"/>
          <w:spacing w:val="0"/>
          <w:sz w:val="32"/>
          <w:szCs w:val="32"/>
          <w:shd w:val="clear" w:color="auto" w:fill="FFFFFF"/>
          <w:lang w:eastAsia="zh-CN"/>
        </w:rPr>
      </w:pPr>
      <w:r>
        <w:rPr>
          <w:rFonts w:hint="eastAsia" w:ascii="仿宋_GB2312" w:hAnsi="仿宋_GB2312" w:eastAsia="仿宋_GB2312" w:cs="仿宋_GB2312"/>
          <w:color w:val="auto"/>
          <w:sz w:val="32"/>
          <w:szCs w:val="32"/>
          <w:u w:val="none"/>
          <w:lang w:val="en-US" w:eastAsia="zh-CN"/>
        </w:rPr>
        <w:t>9.</w:t>
      </w:r>
      <w:r>
        <w:rPr>
          <w:rFonts w:hint="default" w:ascii="仿宋_GB2312" w:hAnsi="sans-serif" w:eastAsia="仿宋_GB2312" w:cs="仿宋_GB2312"/>
          <w:b w:val="0"/>
          <w:i w:val="0"/>
          <w:caps w:val="0"/>
          <w:color w:val="auto"/>
          <w:spacing w:val="0"/>
          <w:sz w:val="32"/>
          <w:szCs w:val="32"/>
          <w:shd w:val="clear" w:color="auto" w:fill="FFFFFF"/>
          <w:lang w:eastAsia="zh-CN"/>
        </w:rPr>
        <w:t>严格落实重大危险源安全包保责任制、矿长带班下井等制度规定，对弄虚作假、搞</w:t>
      </w:r>
      <w:r>
        <w:rPr>
          <w:rFonts w:hint="eastAsia" w:ascii="仿宋_GB2312" w:hAnsi="sans-serif" w:eastAsia="仿宋_GB2312" w:cs="仿宋_GB2312"/>
          <w:b w:val="0"/>
          <w:i w:val="0"/>
          <w:caps w:val="0"/>
          <w:color w:val="auto"/>
          <w:spacing w:val="0"/>
          <w:sz w:val="32"/>
          <w:szCs w:val="32"/>
          <w:shd w:val="clear" w:color="auto" w:fill="FFFFFF"/>
          <w:lang w:eastAsia="zh-CN"/>
        </w:rPr>
        <w:t>“</w:t>
      </w:r>
      <w:r>
        <w:rPr>
          <w:rFonts w:hint="default" w:ascii="仿宋_GB2312" w:hAnsi="sans-serif" w:eastAsia="仿宋_GB2312" w:cs="仿宋_GB2312"/>
          <w:b w:val="0"/>
          <w:i w:val="0"/>
          <w:caps w:val="0"/>
          <w:color w:val="auto"/>
          <w:spacing w:val="0"/>
          <w:sz w:val="32"/>
          <w:szCs w:val="32"/>
          <w:shd w:val="clear" w:color="auto" w:fill="FFFFFF"/>
          <w:lang w:eastAsia="zh-CN"/>
        </w:rPr>
        <w:t>挂名矿长</w:t>
      </w:r>
      <w:r>
        <w:rPr>
          <w:rFonts w:hint="eastAsia" w:ascii="仿宋_GB2312" w:hAnsi="sans-serif" w:eastAsia="仿宋_GB2312" w:cs="仿宋_GB2312"/>
          <w:b w:val="0"/>
          <w:i w:val="0"/>
          <w:caps w:val="0"/>
          <w:color w:val="auto"/>
          <w:spacing w:val="0"/>
          <w:sz w:val="32"/>
          <w:szCs w:val="32"/>
          <w:shd w:val="clear" w:color="auto" w:fill="FFFFFF"/>
          <w:lang w:eastAsia="zh-CN"/>
        </w:rPr>
        <w:t>”</w:t>
      </w:r>
      <w:r>
        <w:rPr>
          <w:rFonts w:hint="default" w:ascii="仿宋_GB2312" w:hAnsi="sans-serif" w:eastAsia="仿宋_GB2312" w:cs="仿宋_GB2312"/>
          <w:b w:val="0"/>
          <w:i w:val="0"/>
          <w:caps w:val="0"/>
          <w:color w:val="auto"/>
          <w:spacing w:val="0"/>
          <w:sz w:val="32"/>
          <w:szCs w:val="32"/>
          <w:shd w:val="clear" w:color="auto" w:fill="FFFFFF"/>
          <w:lang w:eastAsia="zh-CN"/>
        </w:rPr>
        <w:t>逃避安全责任的，依法追究企业实际控制人的责任。对发生重特大事故负有主要责任的，在追究刑事责任的同时，明确终身不得担任本行业单位主要负责人。对故意增加管理层级，层层推卸责任、设置追责</w:t>
      </w:r>
      <w:r>
        <w:rPr>
          <w:rFonts w:hint="eastAsia" w:ascii="仿宋_GB2312" w:hAnsi="sans-serif" w:eastAsia="仿宋_GB2312" w:cs="仿宋_GB2312"/>
          <w:b w:val="0"/>
          <w:i w:val="0"/>
          <w:caps w:val="0"/>
          <w:color w:val="auto"/>
          <w:spacing w:val="0"/>
          <w:sz w:val="32"/>
          <w:szCs w:val="32"/>
          <w:shd w:val="clear" w:color="auto" w:fill="FFFFFF"/>
          <w:lang w:eastAsia="zh-CN"/>
        </w:rPr>
        <w:t>“</w:t>
      </w:r>
      <w:r>
        <w:rPr>
          <w:rFonts w:hint="default" w:ascii="仿宋_GB2312" w:hAnsi="sans-serif" w:eastAsia="仿宋_GB2312" w:cs="仿宋_GB2312"/>
          <w:b w:val="0"/>
          <w:i w:val="0"/>
          <w:caps w:val="0"/>
          <w:color w:val="auto"/>
          <w:spacing w:val="0"/>
          <w:sz w:val="32"/>
          <w:szCs w:val="32"/>
          <w:shd w:val="clear" w:color="auto" w:fill="FFFFFF"/>
          <w:lang w:eastAsia="zh-CN"/>
        </w:rPr>
        <w:t>防火墙</w:t>
      </w:r>
      <w:r>
        <w:rPr>
          <w:rFonts w:hint="eastAsia" w:ascii="仿宋_GB2312" w:hAnsi="sans-serif" w:eastAsia="仿宋_GB2312" w:cs="仿宋_GB2312"/>
          <w:b w:val="0"/>
          <w:i w:val="0"/>
          <w:caps w:val="0"/>
          <w:color w:val="auto"/>
          <w:spacing w:val="0"/>
          <w:sz w:val="32"/>
          <w:szCs w:val="32"/>
          <w:shd w:val="clear" w:color="auto" w:fill="FFFFFF"/>
          <w:lang w:eastAsia="zh-CN"/>
        </w:rPr>
        <w:t>”</w:t>
      </w:r>
      <w:r>
        <w:rPr>
          <w:rFonts w:hint="default" w:ascii="仿宋_GB2312" w:hAnsi="sans-serif" w:eastAsia="仿宋_GB2312" w:cs="仿宋_GB2312"/>
          <w:b w:val="0"/>
          <w:i w:val="0"/>
          <w:caps w:val="0"/>
          <w:color w:val="auto"/>
          <w:spacing w:val="0"/>
          <w:sz w:val="32"/>
          <w:szCs w:val="32"/>
          <w:shd w:val="clear" w:color="auto" w:fill="FFFFFF"/>
          <w:lang w:eastAsia="zh-CN"/>
        </w:rPr>
        <w:t>的，发生重特大事故要直接追究集团公司主要负责人、分管负责人的责任。</w:t>
      </w:r>
    </w:p>
    <w:p>
      <w:pPr>
        <w:keepNext w:val="0"/>
        <w:keepLines w:val="0"/>
        <w:pageBreakBefore w:val="0"/>
        <w:widowControl w:val="0"/>
        <w:suppressLineNumbers w:val="0"/>
        <w:kinsoku/>
        <w:overflowPunct/>
        <w:topLinePunct w:val="0"/>
        <w:autoSpaceDE/>
        <w:autoSpaceDN/>
        <w:bidi w:val="0"/>
        <w:adjustRightInd/>
        <w:snapToGrid/>
        <w:spacing w:line="574" w:lineRule="exact"/>
        <w:ind w:left="0" w:leftChars="0" w:right="0" w:rightChars="0" w:firstLine="640" w:firstLineChars="200"/>
        <w:jc w:val="left"/>
        <w:textAlignment w:val="auto"/>
        <w:outlineLvl w:val="9"/>
        <w:rPr>
          <w:rFonts w:hint="eastAsia" w:ascii="楷体_GB2312" w:hAnsi="楷体_GB2312" w:eastAsia="楷体_GB2312" w:cs="楷体_GB2312"/>
          <w:b/>
          <w:bCs/>
          <w:color w:val="auto"/>
          <w:kern w:val="0"/>
          <w:sz w:val="32"/>
          <w:szCs w:val="32"/>
          <w:u w:val="none"/>
          <w:lang w:val="en-US" w:eastAsia="zh-CN" w:bidi="ar"/>
        </w:rPr>
      </w:pPr>
      <w:r>
        <w:rPr>
          <w:rFonts w:hint="eastAsia" w:ascii="楷体_GB2312" w:hAnsi="楷体_GB2312" w:eastAsia="楷体_GB2312" w:cs="楷体_GB2312"/>
          <w:b w:val="0"/>
          <w:bCs w:val="0"/>
          <w:color w:val="auto"/>
          <w:kern w:val="0"/>
          <w:sz w:val="32"/>
          <w:szCs w:val="32"/>
          <w:u w:val="none"/>
          <w:lang w:val="en-US" w:eastAsia="zh-CN" w:bidi="ar"/>
        </w:rPr>
        <w:t>（六）深入开展安全生产大检查方面</w:t>
      </w:r>
    </w:p>
    <w:p>
      <w:pPr>
        <w:keepNext w:val="0"/>
        <w:keepLines w:val="0"/>
        <w:pageBreakBefore w:val="0"/>
        <w:widowControl w:val="0"/>
        <w:kinsoku/>
        <w:wordWrap w:val="0"/>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10.各村、各单位</w:t>
      </w:r>
      <w:r>
        <w:rPr>
          <w:rFonts w:hint="eastAsia" w:ascii="仿宋_GB2312" w:hAnsi="仿宋_GB2312" w:eastAsia="仿宋_GB2312" w:cs="仿宋_GB2312"/>
          <w:color w:val="auto"/>
          <w:sz w:val="32"/>
          <w:szCs w:val="32"/>
          <w:u w:val="none"/>
          <w:lang w:eastAsia="zh-CN"/>
        </w:rPr>
        <w:t>根据本辖区本行业实际，</w:t>
      </w:r>
      <w:r>
        <w:rPr>
          <w:rFonts w:hint="eastAsia" w:ascii="仿宋_GB2312" w:hAnsi="仿宋_GB2312" w:eastAsia="仿宋_GB2312" w:cs="仿宋_GB2312"/>
          <w:color w:val="auto"/>
          <w:sz w:val="32"/>
          <w:szCs w:val="32"/>
          <w:u w:val="none"/>
          <w:lang w:val="en-US" w:eastAsia="zh-CN"/>
        </w:rPr>
        <w:t>结合安全生产专项整治三年行动和安全生产动态考核工作要求</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制定</w:t>
      </w:r>
      <w:r>
        <w:rPr>
          <w:rFonts w:hint="eastAsia" w:ascii="仿宋_GB2312" w:hAnsi="仿宋_GB2312" w:eastAsia="仿宋_GB2312" w:cs="仿宋_GB2312"/>
          <w:color w:val="auto"/>
          <w:sz w:val="32"/>
          <w:szCs w:val="32"/>
          <w:u w:val="none"/>
          <w:lang w:eastAsia="zh-CN"/>
        </w:rPr>
        <w:t>并组织实施安全生产大检查</w:t>
      </w:r>
      <w:r>
        <w:rPr>
          <w:rFonts w:hint="eastAsia" w:ascii="仿宋_GB2312" w:hAnsi="仿宋_GB2312" w:eastAsia="仿宋_GB2312" w:cs="仿宋_GB2312"/>
          <w:color w:val="auto"/>
          <w:sz w:val="32"/>
          <w:szCs w:val="32"/>
          <w:u w:val="none"/>
          <w:lang w:val="en-US" w:eastAsia="zh-CN"/>
        </w:rPr>
        <w:t>大整治大提升行动</w:t>
      </w:r>
      <w:r>
        <w:rPr>
          <w:rFonts w:hint="eastAsia" w:ascii="仿宋_GB2312" w:hAnsi="仿宋_GB2312" w:eastAsia="仿宋_GB2312" w:cs="仿宋_GB2312"/>
          <w:color w:val="auto"/>
          <w:sz w:val="32"/>
          <w:szCs w:val="32"/>
          <w:u w:val="none"/>
        </w:rPr>
        <w:t>方案</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suppressLineNumbers w:val="0"/>
        <w:kinsoku/>
        <w:overflowPunct/>
        <w:topLinePunct w:val="0"/>
        <w:autoSpaceDE/>
        <w:autoSpaceDN/>
        <w:bidi w:val="0"/>
        <w:adjustRightInd/>
        <w:snapToGrid/>
        <w:spacing w:line="574" w:lineRule="exact"/>
        <w:ind w:left="0" w:leftChars="0" w:right="0" w:rightChars="0" w:firstLine="640" w:firstLineChars="200"/>
        <w:jc w:val="left"/>
        <w:textAlignment w:val="auto"/>
        <w:outlineLvl w:val="9"/>
        <w:rPr>
          <w:rFonts w:hint="eastAsia" w:ascii="楷体_GB2312" w:hAnsi="楷体_GB2312" w:eastAsia="楷体_GB2312" w:cs="楷体_GB2312"/>
          <w:b w:val="0"/>
          <w:bCs w:val="0"/>
          <w:color w:val="auto"/>
          <w:kern w:val="0"/>
          <w:sz w:val="32"/>
          <w:szCs w:val="32"/>
          <w:u w:val="none"/>
          <w:lang w:val="en-US" w:eastAsia="zh-CN" w:bidi="ar"/>
        </w:rPr>
      </w:pPr>
      <w:r>
        <w:rPr>
          <w:rFonts w:hint="eastAsia" w:ascii="楷体_GB2312" w:hAnsi="楷体_GB2312" w:eastAsia="楷体_GB2312" w:cs="楷体_GB2312"/>
          <w:b w:val="0"/>
          <w:bCs w:val="0"/>
          <w:color w:val="auto"/>
          <w:kern w:val="0"/>
          <w:sz w:val="32"/>
          <w:szCs w:val="32"/>
          <w:u w:val="none"/>
          <w:lang w:val="en-US" w:eastAsia="zh-CN" w:bidi="ar"/>
        </w:rPr>
        <w:t>（七）严厉查处违法分包转包和挂靠资质行为方面</w:t>
      </w:r>
    </w:p>
    <w:p>
      <w:pPr>
        <w:keepNext w:val="0"/>
        <w:keepLines w:val="0"/>
        <w:pageBreakBefore w:val="0"/>
        <w:widowControl w:val="0"/>
        <w:kinsoku/>
        <w:wordWrap w:val="0"/>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11.在煤矿、危险化学品、建筑施工等高危行业领域开展打击违法分包转包和挂靠资质行为专项行动，全面排查分包转包和挂靠资质行为，对存在违法的要责令整改，通报其上级主管部门及属地纪委监委，并启动调查程序，严肃追究发包方、承包方、资质方三方责任；对涉嫌犯罪的，移交司法机关追究刑事责任。</w:t>
      </w:r>
    </w:p>
    <w:p>
      <w:pPr>
        <w:keepNext w:val="0"/>
        <w:keepLines w:val="0"/>
        <w:pageBreakBefore w:val="0"/>
        <w:widowControl w:val="0"/>
        <w:suppressLineNumbers w:val="0"/>
        <w:kinsoku/>
        <w:overflowPunct/>
        <w:topLinePunct w:val="0"/>
        <w:autoSpaceDE/>
        <w:autoSpaceDN/>
        <w:bidi w:val="0"/>
        <w:adjustRightInd/>
        <w:snapToGrid/>
        <w:spacing w:line="574" w:lineRule="exact"/>
        <w:ind w:left="0" w:leftChars="0" w:right="0" w:rightChars="0" w:firstLine="640" w:firstLineChars="200"/>
        <w:jc w:val="left"/>
        <w:textAlignment w:val="auto"/>
        <w:outlineLvl w:val="9"/>
        <w:rPr>
          <w:rFonts w:hint="eastAsia" w:ascii="楷体_GB2312" w:hAnsi="楷体_GB2312" w:eastAsia="楷体_GB2312" w:cs="楷体_GB2312"/>
          <w:b/>
          <w:bCs/>
          <w:color w:val="auto"/>
          <w:kern w:val="0"/>
          <w:sz w:val="32"/>
          <w:szCs w:val="32"/>
          <w:u w:val="none"/>
          <w:lang w:val="en-US" w:eastAsia="zh-CN" w:bidi="ar"/>
        </w:rPr>
      </w:pPr>
      <w:r>
        <w:rPr>
          <w:rFonts w:hint="eastAsia" w:ascii="楷体_GB2312" w:hAnsi="楷体_GB2312" w:eastAsia="楷体_GB2312" w:cs="楷体_GB2312"/>
          <w:b w:val="0"/>
          <w:bCs w:val="0"/>
          <w:color w:val="auto"/>
          <w:kern w:val="0"/>
          <w:sz w:val="32"/>
          <w:szCs w:val="32"/>
          <w:u w:val="none"/>
          <w:lang w:val="en-US" w:eastAsia="zh-CN" w:bidi="ar"/>
        </w:rPr>
        <w:t>（八）重拳出击开展“打非治违”方面</w:t>
      </w:r>
    </w:p>
    <w:p>
      <w:pPr>
        <w:keepNext w:val="0"/>
        <w:keepLines w:val="0"/>
        <w:pageBreakBefore w:val="0"/>
        <w:widowControl w:val="0"/>
        <w:kinsoku/>
        <w:wordWrap w:val="0"/>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12.各村、各站所要结合</w:t>
      </w:r>
      <w:r>
        <w:rPr>
          <w:rFonts w:hint="eastAsia" w:ascii="仿宋_GB2312" w:hAnsi="仿宋_GB2312" w:eastAsia="仿宋_GB2312" w:cs="仿宋_GB2312"/>
          <w:color w:val="auto"/>
          <w:sz w:val="32"/>
          <w:szCs w:val="32"/>
          <w:u w:val="none"/>
        </w:rPr>
        <w:t>安全</w:t>
      </w:r>
      <w:r>
        <w:rPr>
          <w:rFonts w:hint="eastAsia" w:ascii="仿宋_GB2312" w:hAnsi="仿宋_GB2312" w:eastAsia="仿宋_GB2312" w:cs="仿宋_GB2312"/>
          <w:color w:val="auto"/>
          <w:sz w:val="32"/>
          <w:szCs w:val="32"/>
          <w:u w:val="none"/>
          <w:lang w:eastAsia="zh-CN"/>
        </w:rPr>
        <w:t>生产大检查</w:t>
      </w:r>
      <w:r>
        <w:rPr>
          <w:rFonts w:hint="eastAsia" w:ascii="仿宋_GB2312" w:hAnsi="仿宋_GB2312" w:eastAsia="仿宋_GB2312" w:cs="仿宋_GB2312"/>
          <w:color w:val="auto"/>
          <w:sz w:val="32"/>
          <w:szCs w:val="32"/>
          <w:u w:val="none"/>
          <w:lang w:val="en-US" w:eastAsia="zh-CN"/>
        </w:rPr>
        <w:t>大整治大提升行动，进一步深化</w:t>
      </w:r>
      <w:r>
        <w:rPr>
          <w:rFonts w:hint="eastAsia" w:ascii="仿宋_GB2312" w:hAnsi="仿宋_GB2312" w:eastAsia="仿宋_GB2312" w:cs="仿宋_GB2312"/>
          <w:color w:val="auto"/>
          <w:sz w:val="32"/>
          <w:szCs w:val="32"/>
          <w:u w:val="none"/>
        </w:rPr>
        <w:t>安全生产“百日攻坚”</w:t>
      </w:r>
      <w:r>
        <w:rPr>
          <w:rFonts w:hint="eastAsia" w:ascii="仿宋_GB2312" w:hAnsi="仿宋_GB2312" w:eastAsia="仿宋_GB2312" w:cs="仿宋_GB2312"/>
          <w:color w:val="auto"/>
          <w:sz w:val="32"/>
          <w:szCs w:val="32"/>
          <w:u w:val="none"/>
          <w:lang w:eastAsia="zh-CN"/>
        </w:rPr>
        <w:t>集中（专项）</w:t>
      </w:r>
      <w:r>
        <w:rPr>
          <w:rFonts w:hint="eastAsia" w:ascii="仿宋_GB2312" w:hAnsi="仿宋_GB2312" w:eastAsia="仿宋_GB2312" w:cs="仿宋_GB2312"/>
          <w:color w:val="auto"/>
          <w:sz w:val="32"/>
          <w:szCs w:val="32"/>
          <w:u w:val="none"/>
        </w:rPr>
        <w:t>行动</w:t>
      </w:r>
      <w:r>
        <w:rPr>
          <w:rFonts w:hint="eastAsia" w:ascii="仿宋_GB2312" w:hAnsi="仿宋_GB2312" w:eastAsia="仿宋_GB2312" w:cs="仿宋_GB2312"/>
          <w:color w:val="auto"/>
          <w:sz w:val="32"/>
          <w:szCs w:val="32"/>
          <w:u w:val="none"/>
          <w:lang w:eastAsia="zh-CN"/>
        </w:rPr>
        <w:t>，持续打击矿山违法盗采、油气管道乱挖乱钻、危化品非法生产运输经营、建筑无资质施工和层层转包、非法营运等典型非法违法行为</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eastAsia="zh-CN"/>
        </w:rPr>
        <w:t>对违纪违法问题线索要移交纪委监委、司法机关立案查处。</w:t>
      </w:r>
    </w:p>
    <w:p>
      <w:pPr>
        <w:keepNext w:val="0"/>
        <w:keepLines w:val="0"/>
        <w:pageBreakBefore w:val="0"/>
        <w:widowControl w:val="0"/>
        <w:kinsoku/>
        <w:wordWrap w:val="0"/>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13.要严格事故查处，认真执行事故挂牌督办制度，对违法违规行为造成事故以及谎报瞒报事故的企业，要依法从重处罚，狠抓一批违法违规行为和事故的处理。</w:t>
      </w:r>
      <w:r>
        <w:rPr>
          <w:rFonts w:hint="eastAsia" w:ascii="仿宋_GB2312" w:hAnsi="仿宋_GB2312" w:eastAsia="仿宋_GB2312" w:cs="仿宋_GB2312"/>
          <w:color w:val="auto"/>
          <w:sz w:val="32"/>
          <w:szCs w:val="32"/>
          <w:u w:val="none"/>
          <w:lang w:eastAsia="zh-CN"/>
        </w:rPr>
        <w:t>对顶风作案、屡禁不止以及责任不落实、监管不到位、失职渎职的，要移送纪委监委等部门依规依纪依法从重惩处；要深挖严打违法行为背后的“保护伞”，严肃处理监管执法人员和不法企业“猫鼠一家”等腐败问题。</w:t>
      </w:r>
    </w:p>
    <w:p>
      <w:pPr>
        <w:keepNext w:val="0"/>
        <w:keepLines w:val="0"/>
        <w:pageBreakBefore w:val="0"/>
        <w:widowControl w:val="0"/>
        <w:kinsoku/>
        <w:wordWrap w:val="0"/>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14.</w:t>
      </w:r>
      <w:r>
        <w:rPr>
          <w:rFonts w:hint="eastAsia" w:ascii="仿宋_GB2312" w:hAnsi="仿宋_GB2312" w:eastAsia="仿宋_GB2312" w:cs="仿宋_GB2312"/>
          <w:color w:val="auto"/>
          <w:sz w:val="32"/>
          <w:szCs w:val="32"/>
          <w:u w:val="none"/>
          <w:lang w:eastAsia="zh-CN"/>
        </w:rPr>
        <w:t>构建“</w:t>
      </w:r>
      <w:r>
        <w:rPr>
          <w:rFonts w:hint="eastAsia" w:ascii="仿宋_GB2312" w:hAnsi="仿宋_GB2312" w:eastAsia="仿宋_GB2312" w:cs="仿宋_GB2312"/>
          <w:color w:val="auto"/>
          <w:sz w:val="32"/>
          <w:szCs w:val="32"/>
          <w:u w:val="none"/>
        </w:rPr>
        <w:t>打非治违</w:t>
      </w:r>
      <w:r>
        <w:rPr>
          <w:rFonts w:hint="eastAsia" w:ascii="仿宋_GB2312" w:hAnsi="仿宋_GB2312" w:eastAsia="仿宋_GB2312" w:cs="仿宋_GB2312"/>
          <w:color w:val="auto"/>
          <w:sz w:val="32"/>
          <w:szCs w:val="32"/>
          <w:u w:val="none"/>
          <w:lang w:eastAsia="zh-CN"/>
        </w:rPr>
        <w:t>”长效机制，严厉打击非法违法生产经营建设行为，严肃查处相关责任人员</w:t>
      </w:r>
      <w:r>
        <w:rPr>
          <w:rFonts w:hint="eastAsia" w:ascii="仿宋_GB2312" w:hAnsi="仿宋_GB2312" w:eastAsia="仿宋_GB2312" w:cs="仿宋_GB2312"/>
          <w:color w:val="auto"/>
          <w:sz w:val="32"/>
          <w:szCs w:val="32"/>
          <w:u w:val="none"/>
        </w:rPr>
        <w:t>。</w:t>
      </w:r>
    </w:p>
    <w:p>
      <w:pPr>
        <w:keepNext w:val="0"/>
        <w:keepLines w:val="0"/>
        <w:pageBreakBefore w:val="0"/>
        <w:widowControl w:val="0"/>
        <w:suppressLineNumbers w:val="0"/>
        <w:kinsoku/>
        <w:overflowPunct/>
        <w:topLinePunct w:val="0"/>
        <w:autoSpaceDE/>
        <w:autoSpaceDN/>
        <w:bidi w:val="0"/>
        <w:adjustRightInd/>
        <w:snapToGrid/>
        <w:spacing w:line="574" w:lineRule="exact"/>
        <w:ind w:left="0" w:leftChars="0" w:right="0" w:rightChars="0" w:firstLine="640" w:firstLineChars="200"/>
        <w:jc w:val="left"/>
        <w:textAlignment w:val="auto"/>
        <w:outlineLvl w:val="9"/>
        <w:rPr>
          <w:rFonts w:hint="eastAsia" w:ascii="楷体_GB2312" w:hAnsi="楷体_GB2312" w:eastAsia="楷体_GB2312" w:cs="楷体_GB2312"/>
          <w:b w:val="0"/>
          <w:bCs w:val="0"/>
          <w:color w:val="auto"/>
          <w:kern w:val="0"/>
          <w:sz w:val="32"/>
          <w:szCs w:val="32"/>
          <w:u w:val="none"/>
          <w:lang w:val="en-US" w:eastAsia="zh-CN" w:bidi="ar"/>
        </w:rPr>
      </w:pPr>
      <w:r>
        <w:rPr>
          <w:rFonts w:hint="eastAsia" w:ascii="楷体_GB2312" w:hAnsi="楷体_GB2312" w:eastAsia="楷体_GB2312" w:cs="楷体_GB2312"/>
          <w:b w:val="0"/>
          <w:bCs w:val="0"/>
          <w:color w:val="auto"/>
          <w:kern w:val="0"/>
          <w:sz w:val="32"/>
          <w:szCs w:val="32"/>
          <w:u w:val="none"/>
          <w:lang w:val="en-US" w:eastAsia="zh-CN" w:bidi="ar"/>
        </w:rPr>
        <w:t>（九）坚决整治执法检查宽松软问题方面</w:t>
      </w:r>
    </w:p>
    <w:p>
      <w:pPr>
        <w:keepNext w:val="0"/>
        <w:keepLines w:val="0"/>
        <w:pageBreakBefore w:val="0"/>
        <w:widowControl w:val="0"/>
        <w:kinsoku/>
        <w:wordWrap w:val="0"/>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15.负有安全监管职责的部门要</w:t>
      </w:r>
      <w:r>
        <w:rPr>
          <w:rFonts w:hint="eastAsia" w:ascii="仿宋_GB2312" w:hAnsi="仿宋_GB2312" w:eastAsia="仿宋_GB2312" w:cs="仿宋_GB2312"/>
          <w:color w:val="auto"/>
          <w:sz w:val="32"/>
          <w:szCs w:val="32"/>
          <w:u w:val="none"/>
        </w:rPr>
        <w:t>制定监督检查计划，按照分级分类的原则，明确检查单位及内容。</w:t>
      </w:r>
      <w:r>
        <w:rPr>
          <w:rFonts w:hint="eastAsia" w:ascii="仿宋_GB2312" w:hAnsi="仿宋_GB2312" w:eastAsia="仿宋_GB2312" w:cs="仿宋_GB2312"/>
          <w:color w:val="auto"/>
          <w:sz w:val="32"/>
          <w:szCs w:val="32"/>
          <w:u w:val="none"/>
          <w:lang w:eastAsia="zh-CN"/>
        </w:rPr>
        <w:t>存在职能交叉的行业领域，由行业领域主管部门纳入</w:t>
      </w:r>
      <w:r>
        <w:rPr>
          <w:rFonts w:hint="eastAsia" w:ascii="仿宋_GB2312" w:hAnsi="仿宋_GB2312" w:eastAsia="仿宋_GB2312" w:cs="仿宋_GB2312"/>
          <w:color w:val="auto"/>
          <w:sz w:val="32"/>
          <w:szCs w:val="32"/>
          <w:u w:val="none"/>
        </w:rPr>
        <w:t>监督检查计划</w:t>
      </w:r>
      <w:r>
        <w:rPr>
          <w:rFonts w:hint="eastAsia" w:ascii="仿宋_GB2312" w:hAnsi="仿宋_GB2312" w:eastAsia="仿宋_GB2312" w:cs="仿宋_GB2312"/>
          <w:color w:val="auto"/>
          <w:sz w:val="32"/>
          <w:szCs w:val="32"/>
          <w:u w:val="none"/>
          <w:lang w:eastAsia="zh-CN"/>
        </w:rPr>
        <w:t>，至少组织开展一次联合执法检查。</w:t>
      </w:r>
    </w:p>
    <w:p>
      <w:pPr>
        <w:keepNext w:val="0"/>
        <w:keepLines w:val="0"/>
        <w:pageBreakBefore w:val="0"/>
        <w:widowControl w:val="0"/>
        <w:suppressLineNumbers w:val="0"/>
        <w:kinsoku/>
        <w:overflowPunct/>
        <w:topLinePunct w:val="0"/>
        <w:autoSpaceDE/>
        <w:autoSpaceDN/>
        <w:bidi w:val="0"/>
        <w:adjustRightInd/>
        <w:snapToGrid/>
        <w:spacing w:line="574" w:lineRule="exact"/>
        <w:ind w:left="0" w:leftChars="0" w:right="0" w:rightChars="0" w:firstLine="640" w:firstLineChars="200"/>
        <w:jc w:val="left"/>
        <w:textAlignment w:val="auto"/>
        <w:outlineLvl w:val="9"/>
        <w:rPr>
          <w:rFonts w:hint="eastAsia" w:ascii="楷体_GB2312" w:hAnsi="楷体_GB2312" w:eastAsia="楷体_GB2312" w:cs="楷体_GB2312"/>
          <w:b w:val="0"/>
          <w:bCs w:val="0"/>
          <w:color w:val="auto"/>
          <w:kern w:val="0"/>
          <w:sz w:val="32"/>
          <w:szCs w:val="32"/>
          <w:u w:val="none"/>
          <w:lang w:val="en-US" w:eastAsia="zh-CN" w:bidi="ar"/>
        </w:rPr>
      </w:pPr>
      <w:r>
        <w:rPr>
          <w:rFonts w:hint="eastAsia" w:ascii="楷体_GB2312" w:hAnsi="楷体_GB2312" w:eastAsia="楷体_GB2312" w:cs="楷体_GB2312"/>
          <w:b w:val="0"/>
          <w:bCs w:val="0"/>
          <w:color w:val="auto"/>
          <w:kern w:val="0"/>
          <w:sz w:val="32"/>
          <w:szCs w:val="32"/>
          <w:u w:val="none"/>
          <w:lang w:val="en-US" w:eastAsia="zh-CN" w:bidi="ar"/>
        </w:rPr>
        <w:t>（十）着力加强安全监管执法队伍建设方面</w:t>
      </w:r>
    </w:p>
    <w:p>
      <w:pPr>
        <w:keepNext w:val="0"/>
        <w:keepLines w:val="0"/>
        <w:pageBreakBefore w:val="0"/>
        <w:widowControl w:val="0"/>
        <w:kinsoku/>
        <w:wordWrap w:val="0"/>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16.积极推进应急管理综合行政执法改革，并</w:t>
      </w:r>
      <w:r>
        <w:rPr>
          <w:rFonts w:hint="eastAsia" w:ascii="仿宋_GB2312" w:hAnsi="仿宋_GB2312" w:eastAsia="仿宋_GB2312" w:cs="仿宋_GB2312"/>
          <w:color w:val="auto"/>
          <w:sz w:val="32"/>
          <w:szCs w:val="32"/>
          <w:u w:val="none"/>
        </w:rPr>
        <w:t>以发改、财政、司法、应急等部门名义联合出台执法队伍规范化建设标准。</w:t>
      </w:r>
      <w:r>
        <w:rPr>
          <w:rFonts w:hint="eastAsia" w:ascii="仿宋_GB2312" w:hAnsi="仿宋_GB2312" w:eastAsia="仿宋_GB2312" w:cs="仿宋_GB2312"/>
          <w:color w:val="auto"/>
          <w:sz w:val="32"/>
          <w:szCs w:val="32"/>
          <w:u w:val="none"/>
          <w:lang w:eastAsia="zh-CN"/>
        </w:rPr>
        <w:t>配齐建强监管执法队伍，确保有足够力量承担安全生产监管执法任务，不得层层转移下放执法责任。</w:t>
      </w:r>
    </w:p>
    <w:p>
      <w:pPr>
        <w:keepNext w:val="0"/>
        <w:keepLines w:val="0"/>
        <w:pageBreakBefore w:val="0"/>
        <w:widowControl w:val="0"/>
        <w:kinsoku/>
        <w:wordWrap w:val="0"/>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17.加强基层安全监管力量建设，镇政府根据辖区企业数量和规模等实际情况，配备不少于3人的监管执法人员，做到“八有”，即有场所、有牌子、有印章、有制度、有经</w:t>
      </w:r>
      <w:r>
        <w:rPr>
          <w:rFonts w:hint="eastAsia" w:ascii="仿宋_GB2312" w:hAnsi="仿宋_GB2312" w:eastAsia="仿宋_GB2312" w:cs="仿宋_GB2312"/>
          <w:color w:val="auto"/>
          <w:sz w:val="32"/>
          <w:szCs w:val="32"/>
          <w:u w:val="none"/>
        </w:rPr>
        <w:t>费、有装备、有统一服装、有工作档案。</w:t>
      </w:r>
    </w:p>
    <w:p>
      <w:pPr>
        <w:keepNext w:val="0"/>
        <w:keepLines w:val="0"/>
        <w:pageBreakBefore w:val="0"/>
        <w:widowControl w:val="0"/>
        <w:kinsoku/>
        <w:wordWrap w:val="0"/>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18.</w:t>
      </w:r>
      <w:r>
        <w:rPr>
          <w:rFonts w:hint="eastAsia" w:ascii="仿宋_GB2312" w:hAnsi="仿宋_GB2312" w:eastAsia="仿宋_GB2312" w:cs="仿宋_GB2312"/>
          <w:color w:val="auto"/>
          <w:sz w:val="32"/>
          <w:szCs w:val="32"/>
          <w:u w:val="none"/>
        </w:rPr>
        <w:t>强化基层网格化服务管理，由纳入网格事项的相关职能部门制定</w:t>
      </w:r>
      <w:r>
        <w:rPr>
          <w:rFonts w:hint="eastAsia" w:ascii="仿宋_GB2312" w:hAnsi="仿宋_GB2312" w:eastAsia="仿宋_GB2312" w:cs="仿宋_GB2312"/>
          <w:color w:val="auto"/>
          <w:sz w:val="32"/>
          <w:szCs w:val="32"/>
          <w:u w:val="none"/>
          <w:lang w:eastAsia="zh-CN"/>
        </w:rPr>
        <w:t>安全生产</w:t>
      </w:r>
      <w:r>
        <w:rPr>
          <w:rFonts w:hint="eastAsia" w:ascii="仿宋_GB2312" w:hAnsi="仿宋_GB2312" w:eastAsia="仿宋_GB2312" w:cs="仿宋_GB2312"/>
          <w:color w:val="auto"/>
          <w:sz w:val="32"/>
          <w:szCs w:val="32"/>
          <w:u w:val="none"/>
        </w:rPr>
        <w:t>工作指南，每年组织不少于2次的专项培训，提高待遇、加强考核、压实责任</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suppressLineNumbers w:val="0"/>
        <w:kinsoku/>
        <w:overflowPunct/>
        <w:topLinePunct w:val="0"/>
        <w:autoSpaceDE/>
        <w:autoSpaceDN/>
        <w:bidi w:val="0"/>
        <w:adjustRightInd/>
        <w:snapToGrid/>
        <w:spacing w:line="574" w:lineRule="exact"/>
        <w:ind w:left="0" w:leftChars="0" w:right="0" w:rightChars="0" w:firstLine="640" w:firstLineChars="200"/>
        <w:jc w:val="left"/>
        <w:textAlignment w:val="auto"/>
        <w:outlineLvl w:val="9"/>
        <w:rPr>
          <w:rFonts w:hint="eastAsia" w:ascii="楷体_GB2312" w:hAnsi="楷体_GB2312" w:eastAsia="楷体_GB2312" w:cs="楷体_GB2312"/>
          <w:b w:val="0"/>
          <w:bCs w:val="0"/>
          <w:color w:val="auto"/>
          <w:kern w:val="0"/>
          <w:sz w:val="32"/>
          <w:szCs w:val="32"/>
          <w:u w:val="none"/>
          <w:lang w:val="en-US" w:eastAsia="zh-CN" w:bidi="ar"/>
        </w:rPr>
      </w:pPr>
      <w:r>
        <w:rPr>
          <w:rFonts w:hint="eastAsia" w:ascii="楷体_GB2312" w:hAnsi="楷体_GB2312" w:eastAsia="楷体_GB2312" w:cs="楷体_GB2312"/>
          <w:b w:val="0"/>
          <w:bCs w:val="0"/>
          <w:color w:val="auto"/>
          <w:kern w:val="0"/>
          <w:sz w:val="32"/>
          <w:szCs w:val="32"/>
          <w:u w:val="none"/>
          <w:lang w:val="en-US" w:eastAsia="zh-CN" w:bidi="ar"/>
        </w:rPr>
        <w:t>（十一）重奖激励安全生产隐患举报方面</w:t>
      </w:r>
    </w:p>
    <w:p>
      <w:pPr>
        <w:keepNext w:val="0"/>
        <w:keepLines w:val="0"/>
        <w:pageBreakBefore w:val="0"/>
        <w:widowControl w:val="0"/>
        <w:kinsoku/>
        <w:wordWrap w:val="0"/>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19.</w:t>
      </w:r>
      <w:r>
        <w:rPr>
          <w:rFonts w:hint="eastAsia" w:ascii="仿宋_GB2312" w:hAnsi="仿宋_GB2312" w:eastAsia="仿宋_GB2312" w:cs="仿宋_GB2312"/>
          <w:color w:val="auto"/>
          <w:sz w:val="32"/>
          <w:szCs w:val="32"/>
          <w:u w:val="none"/>
        </w:rPr>
        <w:t>认真落实《长治市安全生产领域举报奖励办法》，完善举报奖励程序，加强社会监督，鼓励群众积极举报重大事故隐患和安全生产违法行为。</w:t>
      </w:r>
      <w:r>
        <w:rPr>
          <w:rFonts w:hint="eastAsia" w:ascii="仿宋_GB2312" w:hAnsi="仿宋_GB2312" w:eastAsia="仿宋_GB2312" w:cs="仿宋_GB2312"/>
          <w:color w:val="auto"/>
          <w:sz w:val="32"/>
          <w:szCs w:val="32"/>
          <w:u w:val="none"/>
          <w:lang w:val="en-US" w:eastAsia="zh-CN"/>
        </w:rPr>
        <w:t>各村</w:t>
      </w:r>
      <w:r>
        <w:rPr>
          <w:rFonts w:hint="eastAsia" w:ascii="仿宋_GB2312" w:hAnsi="仿宋_GB2312" w:eastAsia="仿宋_GB2312" w:cs="仿宋_GB2312"/>
          <w:color w:val="auto"/>
          <w:sz w:val="32"/>
          <w:szCs w:val="32"/>
          <w:u w:val="none"/>
        </w:rPr>
        <w:t>和企业要健全完善安全生产隐患举报奖励相关配套制度，奖励资金纳入财政预算、企业安全投入。</w:t>
      </w:r>
    </w:p>
    <w:p>
      <w:pPr>
        <w:keepNext w:val="0"/>
        <w:keepLines w:val="0"/>
        <w:pageBreakBefore w:val="0"/>
        <w:widowControl w:val="0"/>
        <w:kinsoku/>
        <w:wordWrap w:val="0"/>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20.对生产安全事故隐瞒不报、谎报或者拖延不报的，依法依规从严追究直接责任人、负有管理和领导责任人员的责任。</w:t>
      </w:r>
      <w:r>
        <w:rPr>
          <w:rFonts w:hint="eastAsia" w:ascii="仿宋_GB2312" w:hAnsi="仿宋_GB2312" w:eastAsia="仿宋_GB2312" w:cs="仿宋_GB2312"/>
          <w:color w:val="auto"/>
          <w:sz w:val="32"/>
          <w:szCs w:val="32"/>
          <w:u w:val="none"/>
          <w:lang w:eastAsia="zh-CN"/>
        </w:rPr>
        <w:t>对核查认定的瞒报事故，一律由上级安委会挂牌督办，必要时由上级政府</w:t>
      </w:r>
      <w:r>
        <w:rPr>
          <w:rFonts w:hint="eastAsia" w:ascii="仿宋_GB2312" w:hAnsi="仿宋_GB2312" w:eastAsia="仿宋_GB2312" w:cs="仿宋_GB2312"/>
          <w:color w:val="auto"/>
          <w:sz w:val="32"/>
          <w:szCs w:val="32"/>
          <w:u w:val="none"/>
        </w:rPr>
        <w:t>提级调查。</w:t>
      </w:r>
    </w:p>
    <w:p>
      <w:pPr>
        <w:keepNext w:val="0"/>
        <w:keepLines w:val="0"/>
        <w:pageBreakBefore w:val="0"/>
        <w:widowControl w:val="0"/>
        <w:suppressLineNumbers w:val="0"/>
        <w:kinsoku/>
        <w:overflowPunct/>
        <w:topLinePunct w:val="0"/>
        <w:autoSpaceDE/>
        <w:autoSpaceDN/>
        <w:bidi w:val="0"/>
        <w:adjustRightInd/>
        <w:snapToGrid/>
        <w:spacing w:line="574" w:lineRule="exact"/>
        <w:ind w:left="0" w:leftChars="0" w:right="0" w:rightChars="0" w:firstLine="640" w:firstLineChars="200"/>
        <w:jc w:val="left"/>
        <w:textAlignment w:val="auto"/>
        <w:outlineLvl w:val="9"/>
        <w:rPr>
          <w:rFonts w:hint="eastAsia" w:ascii="楷体_GB2312" w:hAnsi="楷体_GB2312" w:eastAsia="楷体_GB2312" w:cs="楷体_GB2312"/>
          <w:b w:val="0"/>
          <w:bCs w:val="0"/>
          <w:color w:val="auto"/>
          <w:kern w:val="0"/>
          <w:sz w:val="32"/>
          <w:szCs w:val="32"/>
          <w:u w:val="none"/>
          <w:lang w:val="en-US" w:eastAsia="zh-CN" w:bidi="ar"/>
        </w:rPr>
      </w:pPr>
      <w:r>
        <w:rPr>
          <w:rFonts w:hint="eastAsia" w:ascii="楷体_GB2312" w:hAnsi="楷体_GB2312" w:eastAsia="楷体_GB2312" w:cs="楷体_GB2312"/>
          <w:b w:val="0"/>
          <w:bCs w:val="0"/>
          <w:color w:val="auto"/>
          <w:kern w:val="0"/>
          <w:sz w:val="32"/>
          <w:szCs w:val="32"/>
          <w:u w:val="none"/>
          <w:lang w:val="en-US" w:eastAsia="zh-CN" w:bidi="ar"/>
        </w:rPr>
        <w:t>（</w:t>
      </w:r>
      <w:r>
        <w:rPr>
          <w:rFonts w:hint="eastAsia" w:ascii="楷体_GB2312" w:hAnsi="楷体_GB2312" w:eastAsia="楷体_GB2312" w:cs="楷体_GB2312"/>
          <w:b w:val="0"/>
          <w:bCs w:val="0"/>
          <w:color w:val="auto"/>
          <w:spacing w:val="-6"/>
          <w:kern w:val="0"/>
          <w:sz w:val="32"/>
          <w:szCs w:val="32"/>
          <w:u w:val="none"/>
          <w:lang w:val="en-US" w:eastAsia="zh-CN" w:bidi="ar"/>
        </w:rPr>
        <w:t>十二）统筹做好经济发展、疫情防控和安全生产工作方面</w:t>
      </w:r>
    </w:p>
    <w:p>
      <w:pPr>
        <w:keepNext w:val="0"/>
        <w:keepLines w:val="0"/>
        <w:pageBreakBefore w:val="0"/>
        <w:widowControl w:val="0"/>
        <w:kinsoku/>
        <w:wordWrap w:val="0"/>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21</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各村、各站所</w:t>
      </w:r>
      <w:r>
        <w:rPr>
          <w:rFonts w:hint="default" w:ascii="仿宋_GB2312" w:hAnsi="楷体_GB2312" w:eastAsia="仿宋_GB2312" w:cs="楷体_GB2312"/>
          <w:color w:val="auto"/>
          <w:sz w:val="32"/>
          <w:szCs w:val="32"/>
          <w:u w:val="none"/>
          <w:lang w:val="en-US" w:eastAsia="zh-CN"/>
        </w:rPr>
        <w:t>要保持头脑冷静，坚持统筹发展和安全，坚持发展和安全并重，清醒认识当前做好经济发展、疫情防控和安全生产这三项工作是一个整体，不能“单打一”，要注意调动各方面积极性，提倡互相协助、相互尊重、齐心合力，共同解决好面对的复杂问题，确保实现高质量发展和高水平安全的良性互动。</w:t>
      </w:r>
    </w:p>
    <w:p>
      <w:pPr>
        <w:keepNext w:val="0"/>
        <w:keepLines w:val="0"/>
        <w:pageBreakBefore w:val="0"/>
        <w:widowControl w:val="0"/>
        <w:kinsoku/>
        <w:wordWrap w:val="0"/>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黑体" w:hAnsi="黑体" w:eastAsia="黑体" w:cs="黑体"/>
          <w:color w:val="auto"/>
          <w:kern w:val="0"/>
          <w:sz w:val="32"/>
          <w:szCs w:val="32"/>
          <w:u w:val="none"/>
          <w:lang w:eastAsia="zh-CN"/>
        </w:rPr>
      </w:pPr>
      <w:r>
        <w:rPr>
          <w:rFonts w:hint="eastAsia" w:ascii="黑体" w:hAnsi="黑体" w:eastAsia="黑体" w:cs="黑体"/>
          <w:color w:val="auto"/>
          <w:kern w:val="0"/>
          <w:sz w:val="32"/>
          <w:szCs w:val="32"/>
          <w:u w:val="none"/>
        </w:rPr>
        <w:t>四、</w:t>
      </w:r>
      <w:r>
        <w:rPr>
          <w:rFonts w:hint="eastAsia" w:ascii="黑体" w:hAnsi="黑体" w:eastAsia="黑体" w:cs="黑体"/>
          <w:color w:val="auto"/>
          <w:kern w:val="0"/>
          <w:sz w:val="32"/>
          <w:szCs w:val="32"/>
          <w:u w:val="none"/>
          <w:lang w:eastAsia="zh-CN"/>
        </w:rPr>
        <w:t>工作安排及要求</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仿宋_GB2312" w:eastAsia="仿宋_GB2312"/>
          <w:color w:val="auto"/>
          <w:sz w:val="32"/>
          <w:szCs w:val="32"/>
          <w:u w:val="none"/>
          <w:lang w:val="en-US" w:eastAsia="zh-CN"/>
        </w:rPr>
      </w:pPr>
      <w:r>
        <w:rPr>
          <w:rFonts w:hint="eastAsia" w:ascii="仿宋_GB2312" w:eastAsia="仿宋_GB2312" w:cs="Times New Roman"/>
          <w:color w:val="auto"/>
          <w:sz w:val="32"/>
          <w:szCs w:val="32"/>
          <w:u w:val="none"/>
          <w:lang w:val="en-US" w:eastAsia="zh-CN"/>
        </w:rPr>
        <w:t>本次安全生产大检查大整治大提升行动从即日起至202</w:t>
      </w:r>
      <w:r>
        <w:rPr>
          <w:rFonts w:hint="eastAsia" w:ascii="仿宋_GB2312" w:eastAsia="仿宋_GB2312"/>
          <w:color w:val="auto"/>
          <w:sz w:val="32"/>
          <w:szCs w:val="32"/>
          <w:u w:val="none"/>
          <w:lang w:val="en-US" w:eastAsia="zh-CN"/>
        </w:rPr>
        <w:t>2年11月底结束。</w:t>
      </w:r>
    </w:p>
    <w:p>
      <w:pPr>
        <w:keepNext w:val="0"/>
        <w:keepLines w:val="0"/>
        <w:pageBreakBefore w:val="0"/>
        <w:widowControl w:val="0"/>
        <w:suppressLineNumbers w:val="0"/>
        <w:kinsoku/>
        <w:overflowPunct/>
        <w:topLinePunct w:val="0"/>
        <w:autoSpaceDE/>
        <w:autoSpaceDN/>
        <w:bidi w:val="0"/>
        <w:adjustRightInd/>
        <w:snapToGrid/>
        <w:spacing w:line="574" w:lineRule="exact"/>
        <w:ind w:left="0" w:leftChars="0" w:right="0" w:rightChars="0" w:firstLine="640" w:firstLineChars="200"/>
        <w:jc w:val="left"/>
        <w:textAlignment w:val="auto"/>
        <w:outlineLvl w:val="9"/>
        <w:rPr>
          <w:rFonts w:hint="eastAsia" w:ascii="楷体_GB2312" w:hAnsi="楷体_GB2312" w:eastAsia="楷体_GB2312" w:cs="楷体_GB2312"/>
          <w:b w:val="0"/>
          <w:bCs w:val="0"/>
          <w:color w:val="auto"/>
          <w:kern w:val="0"/>
          <w:sz w:val="32"/>
          <w:szCs w:val="32"/>
          <w:u w:val="none"/>
          <w:lang w:val="en-US" w:eastAsia="zh-CN" w:bidi="ar"/>
        </w:rPr>
      </w:pPr>
      <w:r>
        <w:rPr>
          <w:rFonts w:hint="eastAsia" w:ascii="楷体_GB2312" w:hAnsi="楷体_GB2312" w:eastAsia="楷体_GB2312" w:cs="楷体_GB2312"/>
          <w:b w:val="0"/>
          <w:bCs w:val="0"/>
          <w:color w:val="auto"/>
          <w:kern w:val="0"/>
          <w:sz w:val="32"/>
          <w:szCs w:val="32"/>
          <w:u w:val="none"/>
          <w:lang w:val="en-US" w:eastAsia="zh-CN" w:bidi="ar"/>
        </w:rPr>
        <w:t>（一）提高政治站位，立即部署、全面发动。</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一要推动学习进入高潮（即日起至5月15日）</w:t>
      </w:r>
      <w:r>
        <w:rPr>
          <w:rFonts w:hint="eastAsia" w:ascii="仿宋_GB2312" w:hAnsi="仿宋_GB2312" w:eastAsia="仿宋_GB2312" w:cs="仿宋_GB2312"/>
          <w:color w:val="auto"/>
          <w:sz w:val="32"/>
          <w:szCs w:val="32"/>
          <w:u w:val="none"/>
          <w:lang w:val="en-US" w:eastAsia="zh-CN"/>
        </w:rPr>
        <w:t>。各村、各站所要站在“两个至上”“两个根本”“两个确立”“两个维护”的高度，立即组织学习</w:t>
      </w:r>
      <w:r>
        <w:rPr>
          <w:rFonts w:hint="eastAsia" w:ascii="仿宋_GB2312" w:hAnsi="仿宋_GB2312" w:eastAsia="仿宋_GB2312" w:cs="仿宋_GB2312"/>
          <w:color w:val="auto"/>
          <w:sz w:val="32"/>
          <w:szCs w:val="32"/>
          <w:u w:val="none"/>
          <w:lang w:eastAsia="zh-CN"/>
        </w:rPr>
        <w:t>习近平总书记关于东航</w:t>
      </w:r>
      <w:r>
        <w:rPr>
          <w:rFonts w:hint="eastAsia" w:ascii="仿宋_GB2312" w:hAnsi="仿宋_GB2312" w:eastAsia="仿宋_GB2312" w:cs="仿宋_GB2312"/>
          <w:color w:val="auto"/>
          <w:sz w:val="32"/>
          <w:szCs w:val="32"/>
          <w:u w:val="none"/>
          <w:lang w:val="en-US" w:eastAsia="zh-CN"/>
        </w:rPr>
        <w:t>MU5735</w:t>
      </w:r>
      <w:r>
        <w:rPr>
          <w:rFonts w:hint="eastAsia" w:ascii="仿宋_GB2312" w:hAnsi="仿宋_GB2312" w:eastAsia="仿宋_GB2312" w:cs="仿宋_GB2312"/>
          <w:color w:val="auto"/>
          <w:sz w:val="32"/>
          <w:szCs w:val="32"/>
          <w:u w:val="none"/>
          <w:lang w:eastAsia="zh-CN"/>
        </w:rPr>
        <w:t>航空器</w:t>
      </w:r>
      <w:r>
        <w:rPr>
          <w:rFonts w:hint="eastAsia" w:ascii="仿宋_GB2312" w:hAnsi="仿宋_GB2312" w:eastAsia="仿宋_GB2312" w:cs="仿宋_GB2312"/>
          <w:color w:val="auto"/>
          <w:sz w:val="32"/>
          <w:szCs w:val="32"/>
          <w:u w:val="none"/>
          <w:lang w:val="en-US" w:eastAsia="zh-CN"/>
        </w:rPr>
        <w:t>飞行事故等一系列重要指示、李克强总理重要批示，学习全国、全省、全市安全生产电视电话会议精神及国务院安委会《关于进一步强化安全生产责任落实坚决防范遏制重特大事故的若干措施》《关于开展全国安全生产大检查工作的通知》，学习</w:t>
      </w:r>
      <w:r>
        <w:rPr>
          <w:rFonts w:hint="eastAsia" w:ascii="仿宋_GB2312" w:eastAsia="仿宋_GB2312" w:cs="Times New Roman"/>
          <w:color w:val="auto"/>
          <w:sz w:val="32"/>
          <w:szCs w:val="32"/>
          <w:u w:val="none"/>
          <w:lang w:val="en-US" w:eastAsia="zh-CN"/>
        </w:rPr>
        <w:t>安全生产大检查大整治大提升行动方案</w:t>
      </w:r>
      <w:r>
        <w:rPr>
          <w:rFonts w:hint="eastAsia" w:ascii="仿宋_GB2312" w:hAnsi="仿宋_GB2312" w:eastAsia="仿宋_GB2312" w:cs="仿宋_GB2312"/>
          <w:color w:val="auto"/>
          <w:sz w:val="32"/>
          <w:szCs w:val="32"/>
          <w:u w:val="none"/>
          <w:lang w:val="en-US" w:eastAsia="zh-CN"/>
        </w:rPr>
        <w:t>等有关内容，充分认识大检查大整治大提升行动的重大政治意义、现实意义和深远意义，强化安全红线意识和底线思维，高位推动落实。</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3" w:firstLineChars="200"/>
        <w:textAlignment w:val="auto"/>
        <w:outlineLvl w:val="9"/>
        <w:rPr>
          <w:rFonts w:hint="eastAsia" w:ascii="仿宋_GB2312" w:eastAsia="仿宋_GB2312" w:cs="Times New Roman"/>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二要立即制定方案（5月15日前）</w:t>
      </w:r>
      <w:r>
        <w:rPr>
          <w:rFonts w:hint="eastAsia" w:ascii="仿宋_GB2312" w:hAnsi="仿宋_GB2312" w:eastAsia="仿宋_GB2312" w:cs="仿宋_GB2312"/>
          <w:color w:val="auto"/>
          <w:sz w:val="32"/>
          <w:szCs w:val="32"/>
          <w:u w:val="none"/>
          <w:lang w:val="en-US" w:eastAsia="zh-CN"/>
        </w:rPr>
        <w:t>。结合国家总体部署、安全生产专项整治三年行动、省、市、区政府1号文件和本方案要求，制定各</w:t>
      </w:r>
      <w:r>
        <w:rPr>
          <w:rFonts w:hint="eastAsia" w:ascii="仿宋_GB2312" w:eastAsia="仿宋_GB2312" w:cs="Times New Roman"/>
          <w:color w:val="auto"/>
          <w:sz w:val="32"/>
          <w:szCs w:val="32"/>
          <w:u w:val="none"/>
          <w:lang w:val="en-US" w:eastAsia="zh-CN"/>
        </w:rPr>
        <w:t xml:space="preserve">安全生产大检查大整治大提升行动方案。   </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3" w:firstLineChars="200"/>
        <w:textAlignment w:val="auto"/>
        <w:outlineLvl w:val="9"/>
        <w:rPr>
          <w:rFonts w:hint="eastAsia" w:ascii="仿宋_GB2312" w:eastAsia="仿宋_GB2312" w:cs="Times New Roman"/>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三要全面部署发动（5月15日前）。</w:t>
      </w:r>
      <w:r>
        <w:rPr>
          <w:rFonts w:hint="eastAsia" w:ascii="仿宋_GB2312" w:eastAsia="仿宋_GB2312" w:cs="Times New Roman"/>
          <w:color w:val="auto"/>
          <w:sz w:val="32"/>
          <w:szCs w:val="32"/>
          <w:u w:val="none"/>
          <w:lang w:val="en-US" w:eastAsia="zh-CN"/>
        </w:rPr>
        <w:t>各村要召开专题会进行专题研究、全面部署，进行广泛宣传动员，集中报道好的经验做法，曝光负面典型，强化震慑警示和教育引导作用。</w:t>
      </w:r>
    </w:p>
    <w:p>
      <w:pPr>
        <w:keepNext w:val="0"/>
        <w:keepLines w:val="0"/>
        <w:pageBreakBefore w:val="0"/>
        <w:widowControl w:val="0"/>
        <w:suppressLineNumbers w:val="0"/>
        <w:kinsoku/>
        <w:overflowPunct/>
        <w:topLinePunct w:val="0"/>
        <w:autoSpaceDE/>
        <w:autoSpaceDN/>
        <w:bidi w:val="0"/>
        <w:adjustRightInd/>
        <w:snapToGrid/>
        <w:spacing w:line="574" w:lineRule="exact"/>
        <w:ind w:left="0" w:leftChars="0" w:right="0" w:rightChars="0" w:firstLine="640" w:firstLineChars="200"/>
        <w:jc w:val="left"/>
        <w:textAlignment w:val="auto"/>
        <w:outlineLvl w:val="9"/>
        <w:rPr>
          <w:rFonts w:hint="eastAsia" w:ascii="楷体_GB2312" w:hAnsi="楷体_GB2312" w:eastAsia="楷体_GB2312" w:cs="楷体_GB2312"/>
          <w:b w:val="0"/>
          <w:bCs w:val="0"/>
          <w:color w:val="auto"/>
          <w:kern w:val="0"/>
          <w:sz w:val="32"/>
          <w:szCs w:val="32"/>
          <w:u w:val="none"/>
          <w:lang w:val="en-US" w:eastAsia="zh-CN" w:bidi="ar"/>
        </w:rPr>
      </w:pPr>
      <w:r>
        <w:rPr>
          <w:rFonts w:hint="eastAsia" w:ascii="楷体_GB2312" w:hAnsi="楷体_GB2312" w:eastAsia="楷体_GB2312" w:cs="楷体_GB2312"/>
          <w:b w:val="0"/>
          <w:bCs w:val="0"/>
          <w:color w:val="auto"/>
          <w:kern w:val="0"/>
          <w:sz w:val="32"/>
          <w:szCs w:val="32"/>
          <w:u w:val="none"/>
          <w:lang w:val="en-US" w:eastAsia="zh-CN" w:bidi="ar"/>
        </w:rPr>
        <w:t>（二）坚持问题导向，全面排查、彻底整改。</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3" w:firstLineChars="200"/>
        <w:textAlignment w:val="auto"/>
        <w:outlineLvl w:val="9"/>
        <w:rPr>
          <w:rFonts w:hint="eastAsia" w:ascii="仿宋_GB2312" w:eastAsia="仿宋_GB2312" w:cs="Times New Roman"/>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一是全面自查摸底（5月31日前）。</w:t>
      </w:r>
      <w:r>
        <w:rPr>
          <w:rFonts w:hint="eastAsia" w:ascii="仿宋_GB2312" w:eastAsia="仿宋_GB2312" w:cs="Times New Roman"/>
          <w:color w:val="auto"/>
          <w:sz w:val="32"/>
          <w:szCs w:val="32"/>
          <w:u w:val="none"/>
          <w:lang w:val="en-US" w:eastAsia="zh-CN"/>
        </w:rPr>
        <w:t>各村、各站所要对标对表逐项进行自查，形成问题隐患清单，明确整改措施、完成时限、责任人等。</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3" w:firstLineChars="200"/>
        <w:textAlignment w:val="auto"/>
        <w:outlineLvl w:val="9"/>
        <w:rPr>
          <w:rFonts w:hint="eastAsia" w:ascii="仿宋_GB2312" w:eastAsia="仿宋_GB2312" w:cs="Times New Roman"/>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二是严格检查执法（5月15日至11月30日）。</w:t>
      </w:r>
      <w:r>
        <w:rPr>
          <w:rFonts w:hint="eastAsia" w:ascii="仿宋_GB2312" w:eastAsia="仿宋_GB2312" w:cs="Times New Roman"/>
          <w:color w:val="auto"/>
          <w:sz w:val="32"/>
          <w:szCs w:val="32"/>
          <w:u w:val="none"/>
          <w:lang w:val="en-US" w:eastAsia="zh-CN"/>
        </w:rPr>
        <w:t>各站所要采取多种方式组织对直接监管的企业进行全覆盖、无一遗漏的监督检查。监督检查时可聘请专家或专业技术人员参加，确保检查质量。对检查发现的问题隐患，要依法下达执法文书；对重大事故隐患，要实施挂牌督办；对管理混乱、问题突出、</w:t>
      </w:r>
      <w:r>
        <w:rPr>
          <w:rFonts w:hint="eastAsia" w:ascii="仿宋_GB2312" w:eastAsia="仿宋_GB2312" w:cs="Times New Roman"/>
          <w:color w:val="auto"/>
          <w:spacing w:val="-6"/>
          <w:sz w:val="32"/>
          <w:szCs w:val="32"/>
          <w:u w:val="none"/>
          <w:lang w:val="en-US" w:eastAsia="zh-CN"/>
        </w:rPr>
        <w:t>风险隐患严重的不放心企业，要加大检查频次，必要时派人盯守。</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3" w:firstLineChars="200"/>
        <w:textAlignment w:val="auto"/>
        <w:outlineLvl w:val="9"/>
        <w:rPr>
          <w:rFonts w:hint="eastAsia" w:ascii="仿宋_GB2312" w:hAnsi="Times New Roman" w:eastAsia="仿宋_GB2312" w:cs="Times New Roman"/>
          <w:color w:val="auto"/>
          <w:spacing w:val="-6"/>
          <w:sz w:val="32"/>
          <w:szCs w:val="32"/>
          <w:u w:val="none"/>
          <w:lang w:val="en-US" w:eastAsia="zh-CN"/>
        </w:rPr>
      </w:pPr>
      <w:r>
        <w:rPr>
          <w:rFonts w:hint="eastAsia" w:ascii="仿宋_GB2312" w:hAnsi="仿宋_GB2312" w:eastAsia="仿宋_GB2312" w:cs="仿宋_GB2312"/>
          <w:b/>
          <w:bCs/>
          <w:color w:val="auto"/>
          <w:kern w:val="2"/>
          <w:sz w:val="32"/>
          <w:szCs w:val="32"/>
          <w:u w:val="none"/>
          <w:lang w:val="en-US" w:eastAsia="zh-CN" w:bidi="ar-SA"/>
        </w:rPr>
        <w:t>三是加强督查抽查</w:t>
      </w:r>
      <w:r>
        <w:rPr>
          <w:rFonts w:hint="eastAsia" w:ascii="仿宋_GB2312" w:hAnsi="仿宋_GB2312" w:eastAsia="仿宋_GB2312" w:cs="仿宋_GB2312"/>
          <w:b/>
          <w:bCs/>
          <w:color w:val="auto"/>
          <w:sz w:val="32"/>
          <w:szCs w:val="32"/>
          <w:u w:val="none"/>
          <w:lang w:val="en-US" w:eastAsia="zh-CN"/>
        </w:rPr>
        <w:t>（5月15日至11月20日）。</w:t>
      </w:r>
      <w:r>
        <w:rPr>
          <w:rFonts w:hint="eastAsia" w:ascii="仿宋_GB2312" w:hAnsi="Times New Roman" w:eastAsia="仿宋_GB2312" w:cs="Times New Roman"/>
          <w:color w:val="auto"/>
          <w:spacing w:val="-6"/>
          <w:sz w:val="32"/>
          <w:szCs w:val="32"/>
          <w:u w:val="none"/>
          <w:lang w:val="en-US" w:eastAsia="zh-CN"/>
        </w:rPr>
        <w:t>镇集中行动领导组、镇专项行动领导组适时对全镇安全生产大检查大整治大提升行动开展情况进行检查指导。通过“双随机”“四不两直”和明查暗访等方式。</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3" w:firstLineChars="200"/>
        <w:textAlignment w:val="auto"/>
        <w:outlineLvl w:val="9"/>
        <w:rPr>
          <w:rFonts w:hint="eastAsia" w:ascii="仿宋_GB2312" w:eastAsia="仿宋_GB2312" w:cs="Times New Roman"/>
          <w:color w:val="auto"/>
          <w:sz w:val="32"/>
          <w:szCs w:val="32"/>
          <w:u w:val="none"/>
          <w:lang w:val="en-US" w:eastAsia="zh-CN"/>
        </w:rPr>
      </w:pPr>
      <w:r>
        <w:rPr>
          <w:rFonts w:hint="eastAsia" w:ascii="仿宋_GB2312" w:hAnsi="仿宋_GB2312" w:eastAsia="仿宋_GB2312" w:cs="仿宋_GB2312"/>
          <w:b/>
          <w:bCs/>
          <w:color w:val="auto"/>
          <w:kern w:val="2"/>
          <w:sz w:val="32"/>
          <w:szCs w:val="32"/>
          <w:u w:val="none"/>
          <w:lang w:val="en-US" w:eastAsia="zh-CN" w:bidi="ar-SA"/>
        </w:rPr>
        <w:t>四是强化分类整改</w:t>
      </w:r>
      <w:r>
        <w:rPr>
          <w:rFonts w:hint="eastAsia" w:ascii="仿宋_GB2312" w:hAnsi="仿宋_GB2312" w:eastAsia="仿宋_GB2312" w:cs="仿宋_GB2312"/>
          <w:b/>
          <w:bCs/>
          <w:color w:val="auto"/>
          <w:sz w:val="32"/>
          <w:szCs w:val="32"/>
          <w:u w:val="none"/>
          <w:lang w:val="en-US" w:eastAsia="zh-CN"/>
        </w:rPr>
        <w:t>（5月15日至11月30日）</w:t>
      </w:r>
      <w:r>
        <w:rPr>
          <w:rFonts w:hint="eastAsia" w:ascii="仿宋_GB2312" w:hAnsi="仿宋_GB2312" w:eastAsia="仿宋_GB2312" w:cs="仿宋_GB2312"/>
          <w:b/>
          <w:bCs/>
          <w:color w:val="auto"/>
          <w:kern w:val="2"/>
          <w:sz w:val="32"/>
          <w:szCs w:val="32"/>
          <w:u w:val="none"/>
          <w:lang w:val="en-US" w:eastAsia="zh-CN" w:bidi="ar-SA"/>
        </w:rPr>
        <w:t>。</w:t>
      </w:r>
      <w:r>
        <w:rPr>
          <w:rFonts w:hint="eastAsia" w:ascii="仿宋_GB2312" w:eastAsia="仿宋_GB2312" w:cs="Times New Roman"/>
          <w:color w:val="auto"/>
          <w:sz w:val="32"/>
          <w:szCs w:val="32"/>
          <w:u w:val="none"/>
          <w:lang w:val="en-US" w:eastAsia="zh-CN"/>
        </w:rPr>
        <w:t>对检查发现的问题，要坚持立行立改，不能立即整改的，要制定方案限期整改。对于机构调整、班子强化、人员配备、队伍建设、安全保障等体制问题，要纳入议事日程，进行专题研究、制定专项方案，推动整改落实；对于规范化、制度化、长效化建设等机制问题，要明确牵头单位，聘请行业专家，深入调查研究，尽快出台制度措施；对于审批把关不严、监管执法宽松软等问题，以及企业现场管理混乱、隐患排查治理不深入不彻底、主体责任不落实等问题，要立查立处立改。</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仿宋_GB2312" w:eastAsia="仿宋_GB2312" w:cs="Times New Roman"/>
          <w:color w:val="auto"/>
          <w:sz w:val="32"/>
          <w:szCs w:val="32"/>
          <w:u w:val="none"/>
          <w:lang w:val="en-US" w:eastAsia="zh-CN"/>
        </w:rPr>
      </w:pPr>
      <w:r>
        <w:rPr>
          <w:rFonts w:hint="eastAsia" w:ascii="仿宋_GB2312" w:eastAsia="仿宋_GB2312" w:cs="Times New Roman"/>
          <w:color w:val="auto"/>
          <w:sz w:val="32"/>
          <w:szCs w:val="32"/>
          <w:u w:val="none"/>
          <w:lang w:val="en-US" w:eastAsia="zh-CN"/>
        </w:rPr>
        <w:t>在“中秋”“国庆”和党的二十大等重点时段，各领导要带头深入基层企业一线检查指导安全生产工作。</w:t>
      </w:r>
    </w:p>
    <w:p>
      <w:pPr>
        <w:keepNext w:val="0"/>
        <w:keepLines w:val="0"/>
        <w:pageBreakBefore w:val="0"/>
        <w:widowControl w:val="0"/>
        <w:suppressLineNumbers w:val="0"/>
        <w:kinsoku/>
        <w:overflowPunct/>
        <w:topLinePunct w:val="0"/>
        <w:autoSpaceDE/>
        <w:autoSpaceDN/>
        <w:bidi w:val="0"/>
        <w:adjustRightInd/>
        <w:snapToGrid/>
        <w:spacing w:line="574" w:lineRule="exact"/>
        <w:ind w:left="0" w:leftChars="0" w:right="0" w:rightChars="0" w:firstLine="640" w:firstLineChars="200"/>
        <w:jc w:val="left"/>
        <w:textAlignment w:val="auto"/>
        <w:outlineLvl w:val="9"/>
        <w:rPr>
          <w:rFonts w:hint="default" w:ascii="楷体_GB2312" w:hAnsi="楷体_GB2312" w:eastAsia="楷体_GB2312" w:cs="楷体_GB2312"/>
          <w:b w:val="0"/>
          <w:bCs w:val="0"/>
          <w:color w:val="auto"/>
          <w:kern w:val="0"/>
          <w:sz w:val="32"/>
          <w:szCs w:val="32"/>
          <w:u w:val="none"/>
          <w:lang w:val="en-US" w:eastAsia="zh-CN" w:bidi="ar"/>
        </w:rPr>
      </w:pPr>
      <w:r>
        <w:rPr>
          <w:rFonts w:hint="eastAsia" w:ascii="楷体_GB2312" w:hAnsi="楷体_GB2312" w:eastAsia="楷体_GB2312" w:cs="楷体_GB2312"/>
          <w:b w:val="0"/>
          <w:bCs w:val="0"/>
          <w:color w:val="auto"/>
          <w:kern w:val="0"/>
          <w:sz w:val="32"/>
          <w:szCs w:val="32"/>
          <w:u w:val="none"/>
          <w:lang w:val="en-US" w:eastAsia="zh-CN" w:bidi="ar"/>
        </w:rPr>
        <w:t>（三）定期打分排队，巡查考评、巩固提升。</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3" w:firstLineChars="200"/>
        <w:textAlignment w:val="auto"/>
        <w:outlineLvl w:val="9"/>
        <w:rPr>
          <w:rFonts w:hint="eastAsia" w:ascii="仿宋_GB2312" w:eastAsia="仿宋_GB2312" w:cs="Times New Roman"/>
          <w:color w:val="auto"/>
          <w:sz w:val="32"/>
          <w:szCs w:val="32"/>
          <w:u w:val="none"/>
          <w:lang w:val="en-US" w:eastAsia="zh-CN"/>
        </w:rPr>
      </w:pPr>
      <w:r>
        <w:rPr>
          <w:rFonts w:hint="eastAsia" w:ascii="仿宋_GB2312" w:eastAsia="仿宋_GB2312" w:cs="Times New Roman"/>
          <w:b/>
          <w:bCs/>
          <w:color w:val="auto"/>
          <w:sz w:val="32"/>
          <w:szCs w:val="32"/>
          <w:u w:val="none"/>
          <w:lang w:val="en-US" w:eastAsia="zh-CN"/>
        </w:rPr>
        <w:t>一是开展巡查评估。</w:t>
      </w:r>
      <w:r>
        <w:rPr>
          <w:rFonts w:hint="eastAsia" w:ascii="仿宋_GB2312" w:hAnsi="仿宋_GB2312" w:eastAsia="仿宋_GB2312" w:cs="仿宋_GB2312"/>
          <w:b w:val="0"/>
          <w:bCs w:val="0"/>
          <w:color w:val="auto"/>
          <w:sz w:val="32"/>
          <w:szCs w:val="32"/>
          <w:u w:val="none"/>
          <w:lang w:val="en-US" w:eastAsia="zh-CN"/>
        </w:rPr>
        <w:t>镇政府</w:t>
      </w:r>
      <w:r>
        <w:rPr>
          <w:rFonts w:hint="eastAsia" w:ascii="仿宋_GB2312" w:eastAsia="仿宋_GB2312" w:cs="Times New Roman"/>
          <w:color w:val="auto"/>
          <w:sz w:val="32"/>
          <w:szCs w:val="32"/>
          <w:u w:val="none"/>
          <w:lang w:val="en-US" w:eastAsia="zh-CN"/>
        </w:rPr>
        <w:t>要全面开展一次安全生产巡查及评估，将落实安全生产十五项措施、大排查大整治大提升行动五十七项任务清单和专项整治三年行动重点任务推动落实情况纳入巡查及评估内容，对安全生产责任不落实、工作开展不力、重点问题突出的单位和个人要及时进行警示提醒、批评通报、约谈问责。对安全生产不负责任、玩忽职守出问题的要严查重处、严肃追责。</w:t>
      </w:r>
    </w:p>
    <w:p>
      <w:pPr>
        <w:keepNext w:val="0"/>
        <w:keepLines w:val="0"/>
        <w:pageBreakBefore w:val="0"/>
        <w:widowControl w:val="0"/>
        <w:kinsoku/>
        <w:wordWrap w:val="0"/>
        <w:overflowPunct/>
        <w:topLinePunct w:val="0"/>
        <w:autoSpaceDE/>
        <w:autoSpaceDN/>
        <w:bidi w:val="0"/>
        <w:adjustRightInd/>
        <w:snapToGrid/>
        <w:spacing w:line="574" w:lineRule="exact"/>
        <w:ind w:left="0" w:leftChars="0" w:right="0" w:rightChars="0" w:firstLine="643" w:firstLineChars="200"/>
        <w:textAlignment w:val="auto"/>
        <w:outlineLvl w:val="9"/>
        <w:rPr>
          <w:rFonts w:hint="eastAsia" w:ascii="仿宋_GB2312" w:hAnsi="仿宋_GB2312" w:eastAsia="仿宋_GB2312" w:cs="仿宋_GB2312"/>
          <w:color w:val="auto"/>
          <w:spacing w:val="-6"/>
          <w:sz w:val="32"/>
          <w:szCs w:val="32"/>
          <w:u w:val="none"/>
        </w:rPr>
      </w:pPr>
      <w:r>
        <w:rPr>
          <w:rFonts w:hint="eastAsia" w:ascii="仿宋_GB2312" w:eastAsia="仿宋_GB2312" w:cs="Times New Roman"/>
          <w:b/>
          <w:bCs/>
          <w:color w:val="auto"/>
          <w:sz w:val="32"/>
          <w:szCs w:val="32"/>
          <w:u w:val="none"/>
          <w:lang w:val="en-US" w:eastAsia="zh-CN"/>
        </w:rPr>
        <w:t>二是强化结果运用。</w:t>
      </w:r>
      <w:r>
        <w:rPr>
          <w:rFonts w:hint="eastAsia" w:ascii="仿宋_GB2312" w:eastAsia="仿宋_GB2312" w:cs="Times New Roman"/>
          <w:color w:val="auto"/>
          <w:sz w:val="32"/>
          <w:szCs w:val="32"/>
          <w:u w:val="none"/>
          <w:lang w:val="en-US" w:eastAsia="zh-CN"/>
        </w:rPr>
        <w:t>大检查大整治大提升专项行动结束后，</w:t>
      </w:r>
      <w:r>
        <w:rPr>
          <w:rFonts w:hint="eastAsia" w:ascii="仿宋_GB2312" w:hAnsi="Times New Roman" w:eastAsia="仿宋_GB2312" w:cs="Times New Roman"/>
          <w:color w:val="auto"/>
          <w:sz w:val="32"/>
          <w:szCs w:val="32"/>
          <w:u w:val="none"/>
          <w:lang w:val="en-US" w:eastAsia="zh-CN"/>
        </w:rPr>
        <w:t>对各村、各站所</w:t>
      </w:r>
      <w:r>
        <w:rPr>
          <w:rFonts w:hint="eastAsia" w:ascii="仿宋_GB2312" w:eastAsia="仿宋_GB2312" w:cs="Times New Roman"/>
          <w:color w:val="auto"/>
          <w:sz w:val="32"/>
          <w:szCs w:val="32"/>
          <w:u w:val="none"/>
          <w:lang w:val="en-US" w:eastAsia="zh-CN"/>
        </w:rPr>
        <w:t>进行综合考评，将每月考评结果和巡查评估结果纳入综合考评范畴。综合考评结果报镇政府，</w:t>
      </w:r>
      <w:r>
        <w:rPr>
          <w:rFonts w:hint="eastAsia" w:ascii="仿宋_GB2312" w:eastAsia="仿宋_GB2312"/>
          <w:color w:val="auto"/>
          <w:spacing w:val="-6"/>
          <w:sz w:val="32"/>
          <w:szCs w:val="32"/>
          <w:u w:val="none"/>
          <w:lang w:val="en-US" w:eastAsia="zh-CN"/>
        </w:rPr>
        <w:t>同时纳入安全生产目标责任考核内容。</w:t>
      </w:r>
    </w:p>
    <w:p>
      <w:pPr>
        <w:keepNext w:val="0"/>
        <w:keepLines w:val="0"/>
        <w:pageBreakBefore w:val="0"/>
        <w:widowControl w:val="0"/>
        <w:kinsoku/>
        <w:wordWrap w:val="0"/>
        <w:overflowPunct/>
        <w:topLinePunct w:val="0"/>
        <w:autoSpaceDE/>
        <w:autoSpaceDN/>
        <w:bidi w:val="0"/>
        <w:adjustRightInd/>
        <w:snapToGrid/>
        <w:spacing w:line="574" w:lineRule="exact"/>
        <w:ind w:left="1598" w:leftChars="304" w:right="0" w:rightChars="0" w:hanging="960" w:hangingChars="300"/>
        <w:jc w:val="both"/>
        <w:textAlignment w:val="auto"/>
        <w:outlineLvl w:val="9"/>
        <w:rPr>
          <w:rFonts w:hint="eastAsia" w:ascii="仿宋_GB2312" w:eastAsia="仿宋_GB2312" w:cs="Times New Roman"/>
          <w:color w:val="auto"/>
          <w:sz w:val="32"/>
          <w:szCs w:val="32"/>
          <w:u w:val="none"/>
          <w:lang w:val="en-US" w:eastAsia="zh-CN"/>
        </w:rPr>
      </w:pPr>
      <w:r>
        <w:rPr>
          <w:rFonts w:hint="eastAsia" w:ascii="仿宋_GB2312" w:hAnsi="Times New Roman" w:eastAsia="仿宋_GB2312" w:cs="Times New Roman"/>
          <w:color w:val="auto"/>
          <w:sz w:val="32"/>
          <w:szCs w:val="32"/>
          <w:u w:val="none"/>
          <w:lang w:val="en-US" w:eastAsia="zh-CN"/>
        </w:rPr>
        <w:t>附件：</w:t>
      </w:r>
      <w:r>
        <w:rPr>
          <w:rFonts w:hint="eastAsia" w:ascii="仿宋_GB2312" w:eastAsia="仿宋_GB2312" w:cs="Times New Roman"/>
          <w:color w:val="auto"/>
          <w:sz w:val="32"/>
          <w:szCs w:val="32"/>
          <w:u w:val="none"/>
          <w:lang w:val="en-US" w:eastAsia="zh-CN"/>
        </w:rPr>
        <w:t>荫城镇</w:t>
      </w:r>
      <w:r>
        <w:rPr>
          <w:rFonts w:hint="eastAsia" w:ascii="仿宋_GB2312" w:hAnsi="Times New Roman" w:eastAsia="仿宋_GB2312" w:cs="Times New Roman"/>
          <w:color w:val="auto"/>
          <w:sz w:val="32"/>
          <w:szCs w:val="32"/>
          <w:u w:val="none"/>
          <w:lang w:val="en-US" w:eastAsia="zh-CN"/>
        </w:rPr>
        <w:t>安全生产大检查大整治大提升行动</w:t>
      </w:r>
      <w:r>
        <w:rPr>
          <w:rFonts w:hint="eastAsia" w:ascii="仿宋_GB2312" w:eastAsia="仿宋_GB2312" w:cs="Times New Roman"/>
          <w:color w:val="auto"/>
          <w:sz w:val="32"/>
          <w:szCs w:val="32"/>
          <w:u w:val="none"/>
          <w:lang w:val="en-US" w:eastAsia="zh-CN"/>
        </w:rPr>
        <w:t>情况报表</w:t>
      </w:r>
    </w:p>
    <w:p>
      <w:pPr>
        <w:pStyle w:val="11"/>
        <w:rPr>
          <w:rFonts w:hint="eastAsia" w:ascii="仿宋_GB2312" w:hAnsi="Times New Roman" w:eastAsia="仿宋_GB2312" w:cs="Times New Roman"/>
          <w:color w:val="auto"/>
          <w:sz w:val="32"/>
          <w:szCs w:val="32"/>
          <w:u w:val="none"/>
          <w:lang w:val="en-US" w:eastAsia="zh-CN"/>
        </w:rPr>
      </w:pPr>
    </w:p>
    <w:p>
      <w:pPr>
        <w:pStyle w:val="11"/>
        <w:rPr>
          <w:rFonts w:hint="eastAsia" w:ascii="仿宋_GB2312" w:hAnsi="Times New Roman" w:eastAsia="仿宋_GB2312" w:cs="Times New Roman"/>
          <w:color w:val="auto"/>
          <w:sz w:val="32"/>
          <w:szCs w:val="32"/>
          <w:u w:val="none"/>
          <w:lang w:val="en-US" w:eastAsia="zh-CN"/>
        </w:rPr>
        <w:sectPr>
          <w:footerReference r:id="rId4" w:type="default"/>
          <w:pgSz w:w="11906" w:h="16838"/>
          <w:pgMar w:top="1440" w:right="1800" w:bottom="1440" w:left="1800" w:header="851" w:footer="992" w:gutter="0"/>
          <w:pgNumType w:start="2"/>
          <w:cols w:space="425" w:num="1"/>
          <w:docGrid w:type="lines" w:linePitch="312" w:charSpace="0"/>
        </w:sectPr>
      </w:pPr>
    </w:p>
    <w:p>
      <w:pPr>
        <w:keepNext w:val="0"/>
        <w:keepLines w:val="0"/>
        <w:pageBreakBefore w:val="0"/>
        <w:widowControl w:val="0"/>
        <w:kinsoku/>
        <w:wordWrap w:val="0"/>
        <w:overflowPunct/>
        <w:topLinePunct w:val="0"/>
        <w:autoSpaceDE/>
        <w:autoSpaceDN/>
        <w:bidi w:val="0"/>
        <w:adjustRightInd/>
        <w:snapToGrid/>
        <w:spacing w:line="574" w:lineRule="exact"/>
        <w:ind w:right="0" w:rightChars="0"/>
        <w:jc w:val="left"/>
        <w:textAlignment w:val="auto"/>
        <w:outlineLvl w:val="9"/>
        <w:rPr>
          <w:rFonts w:hint="eastAsia" w:ascii="仿宋_GB2312" w:hAnsi="Times New Roman" w:eastAsia="仿宋_GB2312" w:cs="Times New Roman"/>
          <w:color w:val="auto"/>
          <w:sz w:val="32"/>
          <w:szCs w:val="32"/>
          <w:u w:val="none"/>
          <w:lang w:val="en-US" w:eastAsia="zh-CN"/>
        </w:rPr>
      </w:pPr>
      <w:r>
        <w:rPr>
          <w:rFonts w:hint="eastAsia" w:ascii="仿宋_GB2312" w:hAnsi="Times New Roman" w:eastAsia="仿宋_GB2312" w:cs="Times New Roman"/>
          <w:color w:val="auto"/>
          <w:sz w:val="32"/>
          <w:szCs w:val="32"/>
          <w:u w:val="none"/>
          <w:lang w:val="en-US" w:eastAsia="zh-CN"/>
        </w:rPr>
        <w:t>附件：</w:t>
      </w:r>
    </w:p>
    <w:p>
      <w:pPr>
        <w:keepNext w:val="0"/>
        <w:keepLines w:val="0"/>
        <w:pageBreakBefore w:val="0"/>
        <w:widowControl w:val="0"/>
        <w:kinsoku/>
        <w:wordWrap w:val="0"/>
        <w:overflowPunct/>
        <w:topLinePunct w:val="0"/>
        <w:autoSpaceDE/>
        <w:autoSpaceDN/>
        <w:bidi w:val="0"/>
        <w:adjustRightInd/>
        <w:snapToGrid/>
        <w:spacing w:line="574" w:lineRule="exact"/>
        <w:ind w:right="0" w:rightChars="0"/>
        <w:jc w:val="center"/>
        <w:textAlignment w:val="auto"/>
        <w:outlineLvl w:val="9"/>
        <w:rPr>
          <w:rFonts w:hint="eastAsia" w:ascii="方正小标宋简体" w:hAnsi="方正小标宋简体" w:eastAsia="方正小标宋简体" w:cs="方正小标宋简体"/>
          <w:color w:val="auto"/>
          <w:sz w:val="36"/>
          <w:szCs w:val="36"/>
          <w:u w:val="none"/>
          <w:lang w:val="en-US" w:eastAsia="zh-CN"/>
        </w:rPr>
      </w:pPr>
      <w:r>
        <w:rPr>
          <w:rFonts w:hint="eastAsia" w:ascii="方正小标宋简体" w:hAnsi="方正小标宋简体" w:eastAsia="方正小标宋简体" w:cs="方正小标宋简体"/>
          <w:color w:val="auto"/>
          <w:sz w:val="36"/>
          <w:szCs w:val="36"/>
          <w:u w:val="none"/>
          <w:lang w:val="en-US" w:eastAsia="zh-CN"/>
        </w:rPr>
        <w:t>荫城镇安全生产大检查大整治大提升行动情况报表</w:t>
      </w:r>
    </w:p>
    <w:p>
      <w:pPr>
        <w:pStyle w:val="11"/>
        <w:rPr>
          <w:rFonts w:hint="eastAsia"/>
          <w:lang w:val="en-US" w:eastAsia="zh-CN"/>
        </w:rPr>
      </w:pPr>
    </w:p>
    <w:p>
      <w:pPr>
        <w:rPr>
          <w:rFonts w:hint="default" w:eastAsia="宋体"/>
          <w:lang w:val="en-US" w:eastAsia="zh-CN"/>
        </w:rPr>
      </w:pPr>
      <w:r>
        <w:t>填报单位</w:t>
      </w:r>
      <w:r>
        <w:rPr>
          <w:rFonts w:hint="eastAsia"/>
        </w:rPr>
        <w:t>：</w:t>
      </w:r>
      <w:r>
        <w:rPr>
          <w:rFonts w:hint="eastAsia"/>
          <w:lang w:val="en-US" w:eastAsia="zh-CN"/>
        </w:rPr>
        <w:t>________________________________</w:t>
      </w:r>
      <w:r>
        <w:rPr>
          <w:rFonts w:hint="eastAsia"/>
        </w:rPr>
        <w:t xml:space="preserve">             </w:t>
      </w:r>
      <w:r>
        <w:t xml:space="preserve"> </w:t>
      </w:r>
      <w:r>
        <w:rPr>
          <w:rFonts w:hint="eastAsia"/>
        </w:rPr>
        <w:t>填表人：</w:t>
      </w:r>
      <w:r>
        <w:rPr>
          <w:rFonts w:hint="eastAsia"/>
          <w:lang w:val="en-US" w:eastAsia="zh-CN"/>
        </w:rPr>
        <w:t>________________</w:t>
      </w:r>
      <w:r>
        <w:rPr>
          <w:rFonts w:hint="eastAsia"/>
        </w:rPr>
        <w:t xml:space="preserve">                           填表日期：</w:t>
      </w:r>
      <w:r>
        <w:rPr>
          <w:rFonts w:hint="eastAsia"/>
          <w:lang w:val="en-US" w:eastAsia="zh-CN"/>
        </w:rPr>
        <w:t>________________</w:t>
      </w:r>
    </w:p>
    <w:tbl>
      <w:tblPr>
        <w:tblStyle w:val="14"/>
        <w:tblpPr w:leftFromText="180" w:rightFromText="180" w:vertAnchor="text" w:horzAnchor="page" w:tblpX="1455" w:tblpY="2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807"/>
        <w:gridCol w:w="832"/>
        <w:gridCol w:w="823"/>
        <w:gridCol w:w="902"/>
        <w:gridCol w:w="876"/>
        <w:gridCol w:w="876"/>
        <w:gridCol w:w="876"/>
        <w:gridCol w:w="902"/>
        <w:gridCol w:w="913"/>
        <w:gridCol w:w="541"/>
        <w:gridCol w:w="778"/>
        <w:gridCol w:w="876"/>
        <w:gridCol w:w="876"/>
        <w:gridCol w:w="1004"/>
        <w:gridCol w:w="876"/>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436" w:type="dxa"/>
            <w:vMerge w:val="restart"/>
            <w:noWrap w:val="0"/>
            <w:vAlign w:val="center"/>
          </w:tcPr>
          <w:p>
            <w:pPr>
              <w:widowControl/>
              <w:jc w:val="center"/>
              <w:rPr>
                <w:rFonts w:hint="eastAsia" w:ascii="仿宋" w:hAnsi="仿宋" w:eastAsia="仿宋" w:cs="仿宋"/>
                <w:color w:val="000000"/>
                <w:kern w:val="0"/>
                <w:sz w:val="22"/>
                <w:lang w:eastAsia="zh-CN" w:bidi="ar"/>
              </w:rPr>
            </w:pPr>
            <w:r>
              <w:rPr>
                <w:rFonts w:hint="eastAsia" w:ascii="仿宋" w:hAnsi="仿宋" w:eastAsia="仿宋" w:cs="仿宋"/>
                <w:color w:val="000000"/>
                <w:kern w:val="0"/>
                <w:sz w:val="22"/>
                <w:lang w:eastAsia="zh-CN" w:bidi="ar"/>
              </w:rPr>
              <w:t>数</w:t>
            </w:r>
          </w:p>
          <w:p>
            <w:pPr>
              <w:widowControl/>
              <w:jc w:val="center"/>
              <w:rPr>
                <w:rFonts w:hint="eastAsia" w:ascii="仿宋" w:hAnsi="仿宋" w:eastAsia="仿宋" w:cs="仿宋"/>
                <w:color w:val="000000"/>
                <w:kern w:val="0"/>
                <w:sz w:val="22"/>
                <w:lang w:eastAsia="zh-CN" w:bidi="ar"/>
              </w:rPr>
            </w:pPr>
            <w:r>
              <w:rPr>
                <w:rFonts w:hint="eastAsia" w:ascii="仿宋" w:hAnsi="仿宋" w:eastAsia="仿宋" w:cs="仿宋"/>
                <w:color w:val="000000"/>
                <w:kern w:val="0"/>
                <w:sz w:val="22"/>
                <w:lang w:eastAsia="zh-CN" w:bidi="ar"/>
              </w:rPr>
              <w:t>据</w:t>
            </w:r>
          </w:p>
          <w:p>
            <w:pPr>
              <w:widowControl/>
              <w:jc w:val="center"/>
              <w:rPr>
                <w:rFonts w:hint="eastAsia" w:ascii="仿宋" w:hAnsi="仿宋" w:eastAsia="仿宋" w:cs="仿宋"/>
                <w:color w:val="000000"/>
                <w:kern w:val="0"/>
                <w:sz w:val="22"/>
                <w:lang w:eastAsia="zh-CN" w:bidi="ar"/>
              </w:rPr>
            </w:pPr>
            <w:r>
              <w:rPr>
                <w:rFonts w:hint="eastAsia" w:ascii="仿宋" w:hAnsi="仿宋" w:eastAsia="仿宋" w:cs="仿宋"/>
                <w:color w:val="000000"/>
                <w:kern w:val="0"/>
                <w:sz w:val="22"/>
                <w:lang w:eastAsia="zh-CN" w:bidi="ar"/>
              </w:rPr>
              <w:t>统</w:t>
            </w:r>
          </w:p>
          <w:p>
            <w:pPr>
              <w:widowControl/>
              <w:jc w:val="center"/>
              <w:rPr>
                <w:rFonts w:hint="eastAsia" w:ascii="仿宋" w:hAnsi="仿宋" w:eastAsia="仿宋" w:cs="仿宋"/>
                <w:color w:val="000000"/>
                <w:kern w:val="0"/>
                <w:sz w:val="22"/>
                <w:lang w:eastAsia="zh-CN" w:bidi="ar"/>
              </w:rPr>
            </w:pPr>
            <w:r>
              <w:rPr>
                <w:rFonts w:hint="eastAsia" w:ascii="仿宋" w:hAnsi="仿宋" w:eastAsia="仿宋" w:cs="仿宋"/>
                <w:color w:val="000000"/>
                <w:kern w:val="0"/>
                <w:sz w:val="22"/>
                <w:lang w:eastAsia="zh-CN" w:bidi="ar"/>
              </w:rPr>
              <w:t>计</w:t>
            </w:r>
          </w:p>
        </w:tc>
        <w:tc>
          <w:tcPr>
            <w:tcW w:w="807" w:type="dxa"/>
            <w:vMerge w:val="restart"/>
            <w:noWrap w:val="0"/>
            <w:vAlign w:val="center"/>
          </w:tcPr>
          <w:p>
            <w:pPr>
              <w:widowControl/>
              <w:jc w:val="center"/>
              <w:rPr>
                <w:rFonts w:hint="eastAsia" w:ascii="仿宋" w:hAnsi="仿宋" w:eastAsia="仿宋" w:cs="仿宋"/>
                <w:kern w:val="0"/>
                <w:sz w:val="22"/>
              </w:rPr>
            </w:pPr>
            <w:r>
              <w:rPr>
                <w:rFonts w:hint="eastAsia" w:ascii="仿宋" w:hAnsi="仿宋" w:eastAsia="仿宋" w:cs="仿宋"/>
                <w:color w:val="000000"/>
                <w:kern w:val="0"/>
                <w:sz w:val="22"/>
                <w:lang w:bidi="ar"/>
              </w:rPr>
              <w:t>组织</w:t>
            </w:r>
          </w:p>
          <w:p>
            <w:pPr>
              <w:widowControl/>
              <w:jc w:val="center"/>
              <w:rPr>
                <w:rFonts w:hint="eastAsia" w:ascii="仿宋" w:hAnsi="仿宋" w:eastAsia="仿宋" w:cs="仿宋"/>
                <w:kern w:val="0"/>
                <w:sz w:val="22"/>
              </w:rPr>
            </w:pPr>
            <w:r>
              <w:rPr>
                <w:rFonts w:hint="eastAsia" w:ascii="仿宋" w:hAnsi="仿宋" w:eastAsia="仿宋" w:cs="仿宋"/>
                <w:color w:val="000000"/>
                <w:kern w:val="0"/>
                <w:sz w:val="22"/>
                <w:lang w:bidi="ar"/>
              </w:rPr>
              <w:t>检查</w:t>
            </w:r>
          </w:p>
          <w:p>
            <w:pPr>
              <w:widowControl/>
              <w:jc w:val="center"/>
              <w:rPr>
                <w:rFonts w:hint="eastAsia" w:ascii="仿宋" w:hAnsi="仿宋" w:eastAsia="仿宋" w:cs="仿宋"/>
                <w:kern w:val="0"/>
                <w:sz w:val="22"/>
              </w:rPr>
            </w:pPr>
            <w:r>
              <w:rPr>
                <w:rFonts w:hint="eastAsia" w:ascii="仿宋" w:hAnsi="仿宋" w:eastAsia="仿宋" w:cs="仿宋"/>
                <w:color w:val="000000"/>
                <w:kern w:val="0"/>
                <w:sz w:val="22"/>
                <w:lang w:bidi="ar"/>
              </w:rPr>
              <w:t>组</w:t>
            </w:r>
          </w:p>
        </w:tc>
        <w:tc>
          <w:tcPr>
            <w:tcW w:w="6087" w:type="dxa"/>
            <w:gridSpan w:val="7"/>
            <w:noWrap w:val="0"/>
            <w:vAlign w:val="center"/>
          </w:tcPr>
          <w:p>
            <w:pPr>
              <w:widowControl/>
              <w:jc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eastAsia="zh-CN" w:bidi="ar"/>
              </w:rPr>
              <w:t>大</w:t>
            </w:r>
            <w:r>
              <w:rPr>
                <w:rFonts w:hint="eastAsia" w:ascii="仿宋" w:hAnsi="仿宋" w:eastAsia="仿宋" w:cs="仿宋"/>
                <w:color w:val="000000"/>
                <w:kern w:val="0"/>
                <w:sz w:val="22"/>
                <w:lang w:bidi="ar"/>
              </w:rPr>
              <w:t>检查</w:t>
            </w:r>
            <w:r>
              <w:rPr>
                <w:rFonts w:hint="eastAsia" w:ascii="仿宋" w:hAnsi="仿宋" w:eastAsia="仿宋" w:cs="仿宋"/>
                <w:color w:val="000000"/>
                <w:kern w:val="0"/>
                <w:sz w:val="22"/>
                <w:lang w:eastAsia="zh-CN" w:bidi="ar"/>
              </w:rPr>
              <w:t>大整治大提升</w:t>
            </w:r>
            <w:r>
              <w:rPr>
                <w:rFonts w:hint="eastAsia" w:ascii="仿宋" w:hAnsi="仿宋" w:eastAsia="仿宋" w:cs="仿宋"/>
                <w:color w:val="000000"/>
                <w:kern w:val="0"/>
                <w:sz w:val="22"/>
                <w:lang w:bidi="ar"/>
              </w:rPr>
              <w:t>开展情况</w:t>
            </w:r>
          </w:p>
        </w:tc>
        <w:tc>
          <w:tcPr>
            <w:tcW w:w="3984" w:type="dxa"/>
            <w:gridSpan w:val="5"/>
            <w:noWrap w:val="0"/>
            <w:vAlign w:val="center"/>
          </w:tcPr>
          <w:p>
            <w:pPr>
              <w:widowControl/>
              <w:jc w:val="center"/>
              <w:rPr>
                <w:rFonts w:hint="eastAsia" w:ascii="仿宋" w:hAnsi="仿宋" w:eastAsia="仿宋" w:cs="仿宋"/>
                <w:kern w:val="0"/>
                <w:sz w:val="22"/>
              </w:rPr>
            </w:pPr>
            <w:r>
              <w:rPr>
                <w:rFonts w:hint="eastAsia" w:ascii="仿宋" w:hAnsi="仿宋" w:eastAsia="仿宋" w:cs="仿宋"/>
                <w:color w:val="000000"/>
                <w:kern w:val="0"/>
                <w:sz w:val="22"/>
                <w:lang w:bidi="ar"/>
              </w:rPr>
              <w:t>执法情况</w:t>
            </w:r>
          </w:p>
        </w:tc>
        <w:tc>
          <w:tcPr>
            <w:tcW w:w="1004" w:type="dxa"/>
            <w:vMerge w:val="restart"/>
            <w:noWrap w:val="0"/>
            <w:vAlign w:val="center"/>
          </w:tcPr>
          <w:p>
            <w:pPr>
              <w:widowControl/>
              <w:jc w:val="center"/>
              <w:rPr>
                <w:rFonts w:hint="eastAsia" w:ascii="仿宋" w:hAnsi="仿宋" w:eastAsia="仿宋" w:cs="仿宋"/>
                <w:kern w:val="0"/>
                <w:sz w:val="22"/>
                <w:lang w:eastAsia="zh-CN"/>
              </w:rPr>
            </w:pPr>
            <w:r>
              <w:rPr>
                <w:rFonts w:hint="eastAsia" w:ascii="仿宋" w:hAnsi="仿宋" w:eastAsia="仿宋" w:cs="仿宋"/>
                <w:color w:val="000000"/>
                <w:kern w:val="0"/>
                <w:sz w:val="22"/>
                <w:lang w:eastAsia="zh-CN" w:bidi="ar"/>
              </w:rPr>
              <w:t>处理人员情况（党纪政务处分</w:t>
            </w:r>
            <w:r>
              <w:rPr>
                <w:rFonts w:hint="eastAsia" w:ascii="仿宋" w:hAnsi="仿宋" w:eastAsia="仿宋" w:cs="仿宋"/>
                <w:color w:val="000000"/>
                <w:kern w:val="0"/>
                <w:sz w:val="22"/>
                <w:lang w:val="en-US" w:eastAsia="zh-CN" w:bidi="ar"/>
              </w:rPr>
              <w:t>/追究刑事责任</w:t>
            </w:r>
            <w:r>
              <w:rPr>
                <w:rFonts w:hint="eastAsia" w:ascii="仿宋" w:hAnsi="仿宋" w:eastAsia="仿宋" w:cs="仿宋"/>
                <w:color w:val="000000"/>
                <w:kern w:val="0"/>
                <w:sz w:val="22"/>
                <w:lang w:eastAsia="zh-CN" w:bidi="ar"/>
              </w:rPr>
              <w:t>）</w:t>
            </w:r>
          </w:p>
        </w:tc>
        <w:tc>
          <w:tcPr>
            <w:tcW w:w="1759" w:type="dxa"/>
            <w:gridSpan w:val="2"/>
            <w:noWrap w:val="0"/>
            <w:vAlign w:val="center"/>
          </w:tcPr>
          <w:p>
            <w:pPr>
              <w:widowControl/>
              <w:jc w:val="center"/>
              <w:rPr>
                <w:rFonts w:hint="eastAsia" w:ascii="仿宋" w:hAnsi="仿宋" w:eastAsia="仿宋" w:cs="仿宋"/>
                <w:kern w:val="0"/>
                <w:sz w:val="22"/>
              </w:rPr>
            </w:pPr>
            <w:r>
              <w:rPr>
                <w:rFonts w:hint="eastAsia" w:ascii="仿宋" w:hAnsi="仿宋" w:eastAsia="仿宋" w:cs="仿宋"/>
                <w:color w:val="000000"/>
                <w:kern w:val="0"/>
                <w:sz w:val="22"/>
                <w:lang w:bidi="ar"/>
              </w:rPr>
              <w:t>问责曝光工作</w:t>
            </w:r>
          </w:p>
          <w:p>
            <w:pPr>
              <w:widowControl/>
              <w:jc w:val="center"/>
              <w:rPr>
                <w:rFonts w:hint="eastAsia" w:ascii="仿宋" w:hAnsi="仿宋" w:eastAsia="仿宋" w:cs="仿宋"/>
                <w:kern w:val="0"/>
                <w:sz w:val="22"/>
              </w:rPr>
            </w:pPr>
            <w:r>
              <w:rPr>
                <w:rFonts w:hint="eastAsia" w:ascii="仿宋" w:hAnsi="仿宋" w:eastAsia="仿宋" w:cs="仿宋"/>
                <w:color w:val="000000"/>
                <w:kern w:val="0"/>
                <w:sz w:val="22"/>
                <w:lang w:bidi="ar"/>
              </w:rPr>
              <w:t>不力情况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436" w:type="dxa"/>
            <w:vMerge w:val="continue"/>
            <w:noWrap w:val="0"/>
            <w:vAlign w:val="center"/>
          </w:tcPr>
          <w:p>
            <w:pPr>
              <w:jc w:val="center"/>
              <w:rPr>
                <w:rFonts w:hint="eastAsia" w:ascii="仿宋" w:hAnsi="仿宋" w:eastAsia="仿宋" w:cs="仿宋"/>
                <w:kern w:val="0"/>
                <w:sz w:val="22"/>
              </w:rPr>
            </w:pPr>
          </w:p>
        </w:tc>
        <w:tc>
          <w:tcPr>
            <w:tcW w:w="807" w:type="dxa"/>
            <w:vMerge w:val="continue"/>
            <w:noWrap w:val="0"/>
            <w:vAlign w:val="center"/>
          </w:tcPr>
          <w:p>
            <w:pPr>
              <w:jc w:val="center"/>
              <w:rPr>
                <w:rFonts w:hint="eastAsia" w:ascii="仿宋" w:hAnsi="仿宋" w:eastAsia="仿宋" w:cs="仿宋"/>
                <w:kern w:val="0"/>
                <w:sz w:val="22"/>
              </w:rPr>
            </w:pPr>
          </w:p>
        </w:tc>
        <w:tc>
          <w:tcPr>
            <w:tcW w:w="832" w:type="dxa"/>
            <w:vMerge w:val="restart"/>
            <w:noWrap w:val="0"/>
            <w:vAlign w:val="center"/>
          </w:tcPr>
          <w:p>
            <w:pPr>
              <w:widowControl/>
              <w:jc w:val="center"/>
              <w:rPr>
                <w:rFonts w:hint="eastAsia" w:ascii="仿宋" w:hAnsi="仿宋" w:eastAsia="仿宋" w:cs="仿宋"/>
                <w:kern w:val="0"/>
                <w:sz w:val="22"/>
              </w:rPr>
            </w:pPr>
            <w:r>
              <w:rPr>
                <w:rFonts w:hint="eastAsia" w:ascii="仿宋" w:hAnsi="仿宋" w:eastAsia="仿宋" w:cs="仿宋"/>
                <w:color w:val="000000"/>
                <w:kern w:val="0"/>
                <w:sz w:val="22"/>
                <w:lang w:bidi="ar"/>
              </w:rPr>
              <w:t>检查</w:t>
            </w:r>
          </w:p>
          <w:p>
            <w:pPr>
              <w:widowControl/>
              <w:jc w:val="center"/>
              <w:rPr>
                <w:rFonts w:hint="eastAsia" w:ascii="仿宋" w:hAnsi="仿宋" w:eastAsia="仿宋" w:cs="仿宋"/>
                <w:kern w:val="0"/>
                <w:sz w:val="22"/>
              </w:rPr>
            </w:pPr>
            <w:r>
              <w:rPr>
                <w:rFonts w:hint="eastAsia" w:ascii="仿宋" w:hAnsi="仿宋" w:eastAsia="仿宋" w:cs="仿宋"/>
                <w:color w:val="000000"/>
                <w:kern w:val="0"/>
                <w:sz w:val="22"/>
                <w:lang w:bidi="ar"/>
              </w:rPr>
              <w:t>企业</w:t>
            </w:r>
          </w:p>
        </w:tc>
        <w:tc>
          <w:tcPr>
            <w:tcW w:w="1725" w:type="dxa"/>
            <w:gridSpan w:val="2"/>
            <w:noWrap w:val="0"/>
            <w:vAlign w:val="center"/>
          </w:tcPr>
          <w:p>
            <w:pPr>
              <w:widowControl/>
              <w:jc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eastAsia="zh-CN" w:bidi="ar"/>
              </w:rPr>
              <w:t>非法违法生产经营建设行为案例</w:t>
            </w:r>
          </w:p>
        </w:tc>
        <w:tc>
          <w:tcPr>
            <w:tcW w:w="1752" w:type="dxa"/>
            <w:gridSpan w:val="2"/>
            <w:noWrap w:val="0"/>
            <w:vAlign w:val="center"/>
          </w:tcPr>
          <w:p>
            <w:pPr>
              <w:widowControl/>
              <w:jc w:val="center"/>
              <w:rPr>
                <w:rFonts w:hint="eastAsia" w:ascii="仿宋" w:hAnsi="仿宋" w:eastAsia="仿宋" w:cs="仿宋"/>
                <w:kern w:val="0"/>
                <w:sz w:val="22"/>
              </w:rPr>
            </w:pPr>
            <w:r>
              <w:rPr>
                <w:rFonts w:hint="eastAsia" w:ascii="仿宋" w:hAnsi="仿宋" w:eastAsia="仿宋" w:cs="仿宋"/>
                <w:color w:val="000000"/>
                <w:kern w:val="0"/>
                <w:sz w:val="22"/>
                <w:lang w:bidi="ar"/>
              </w:rPr>
              <w:t>一般隐患</w:t>
            </w:r>
          </w:p>
          <w:p>
            <w:pPr>
              <w:jc w:val="center"/>
              <w:rPr>
                <w:rFonts w:hint="eastAsia" w:ascii="仿宋" w:hAnsi="仿宋" w:eastAsia="仿宋" w:cs="仿宋"/>
                <w:kern w:val="0"/>
                <w:sz w:val="22"/>
              </w:rPr>
            </w:pPr>
          </w:p>
        </w:tc>
        <w:tc>
          <w:tcPr>
            <w:tcW w:w="1778" w:type="dxa"/>
            <w:gridSpan w:val="2"/>
            <w:noWrap w:val="0"/>
            <w:vAlign w:val="center"/>
          </w:tcPr>
          <w:p>
            <w:pPr>
              <w:widowControl/>
              <w:jc w:val="center"/>
              <w:rPr>
                <w:rFonts w:hint="eastAsia" w:ascii="仿宋" w:hAnsi="仿宋" w:eastAsia="仿宋" w:cs="仿宋"/>
                <w:kern w:val="0"/>
                <w:sz w:val="22"/>
              </w:rPr>
            </w:pPr>
            <w:r>
              <w:rPr>
                <w:rFonts w:hint="eastAsia" w:ascii="仿宋" w:hAnsi="仿宋" w:eastAsia="仿宋" w:cs="仿宋"/>
                <w:color w:val="000000"/>
                <w:kern w:val="0"/>
                <w:sz w:val="22"/>
                <w:lang w:bidi="ar"/>
              </w:rPr>
              <w:t>重大隐患</w:t>
            </w:r>
          </w:p>
          <w:p>
            <w:pPr>
              <w:jc w:val="center"/>
              <w:rPr>
                <w:rFonts w:hint="eastAsia" w:ascii="仿宋" w:hAnsi="仿宋" w:eastAsia="仿宋" w:cs="仿宋"/>
                <w:kern w:val="0"/>
                <w:sz w:val="22"/>
              </w:rPr>
            </w:pPr>
          </w:p>
        </w:tc>
        <w:tc>
          <w:tcPr>
            <w:tcW w:w="913" w:type="dxa"/>
            <w:vMerge w:val="restart"/>
            <w:noWrap w:val="0"/>
            <w:vAlign w:val="center"/>
          </w:tcPr>
          <w:p>
            <w:pPr>
              <w:widowControl/>
              <w:jc w:val="center"/>
              <w:rPr>
                <w:rFonts w:hint="eastAsia" w:ascii="仿宋" w:hAnsi="仿宋" w:eastAsia="仿宋" w:cs="仿宋"/>
                <w:kern w:val="0"/>
                <w:sz w:val="22"/>
              </w:rPr>
            </w:pPr>
            <w:r>
              <w:rPr>
                <w:rFonts w:hint="eastAsia" w:ascii="仿宋" w:hAnsi="仿宋" w:eastAsia="仿宋" w:cs="仿宋"/>
                <w:color w:val="000000"/>
                <w:kern w:val="0"/>
                <w:sz w:val="22"/>
                <w:lang w:bidi="ar"/>
              </w:rPr>
              <w:t>责令限期整改企业</w:t>
            </w:r>
          </w:p>
        </w:tc>
        <w:tc>
          <w:tcPr>
            <w:tcW w:w="541" w:type="dxa"/>
            <w:vMerge w:val="restart"/>
            <w:noWrap w:val="0"/>
            <w:vAlign w:val="center"/>
          </w:tcPr>
          <w:p>
            <w:pPr>
              <w:widowControl/>
              <w:jc w:val="center"/>
              <w:rPr>
                <w:rFonts w:hint="eastAsia" w:ascii="仿宋" w:hAnsi="仿宋" w:eastAsia="仿宋" w:cs="仿宋"/>
                <w:kern w:val="0"/>
                <w:sz w:val="22"/>
              </w:rPr>
            </w:pPr>
            <w:r>
              <w:rPr>
                <w:rFonts w:hint="eastAsia" w:ascii="仿宋" w:hAnsi="仿宋" w:eastAsia="仿宋" w:cs="仿宋"/>
                <w:color w:val="000000"/>
                <w:kern w:val="0"/>
                <w:sz w:val="22"/>
                <w:lang w:bidi="ar"/>
              </w:rPr>
              <w:t>行政</w:t>
            </w:r>
          </w:p>
          <w:p>
            <w:pPr>
              <w:widowControl/>
              <w:jc w:val="center"/>
              <w:rPr>
                <w:rFonts w:hint="eastAsia" w:ascii="仿宋" w:hAnsi="仿宋" w:eastAsia="仿宋" w:cs="仿宋"/>
                <w:kern w:val="0"/>
                <w:sz w:val="22"/>
              </w:rPr>
            </w:pPr>
            <w:r>
              <w:rPr>
                <w:rFonts w:hint="eastAsia" w:ascii="仿宋" w:hAnsi="仿宋" w:eastAsia="仿宋" w:cs="仿宋"/>
                <w:color w:val="000000"/>
                <w:kern w:val="0"/>
                <w:sz w:val="22"/>
                <w:lang w:bidi="ar"/>
              </w:rPr>
              <w:t>罚款</w:t>
            </w:r>
          </w:p>
        </w:tc>
        <w:tc>
          <w:tcPr>
            <w:tcW w:w="778" w:type="dxa"/>
            <w:vMerge w:val="restart"/>
            <w:noWrap w:val="0"/>
            <w:vAlign w:val="center"/>
          </w:tcPr>
          <w:p>
            <w:pPr>
              <w:widowControl/>
              <w:jc w:val="center"/>
              <w:rPr>
                <w:rFonts w:hint="eastAsia" w:ascii="仿宋" w:hAnsi="仿宋" w:eastAsia="仿宋" w:cs="仿宋"/>
                <w:kern w:val="0"/>
                <w:sz w:val="22"/>
              </w:rPr>
            </w:pPr>
            <w:r>
              <w:rPr>
                <w:rFonts w:hint="eastAsia" w:ascii="仿宋" w:hAnsi="仿宋" w:eastAsia="仿宋" w:cs="仿宋"/>
                <w:color w:val="000000"/>
                <w:kern w:val="0"/>
                <w:sz w:val="22"/>
                <w:lang w:bidi="ar"/>
              </w:rPr>
              <w:t>停产</w:t>
            </w:r>
          </w:p>
          <w:p>
            <w:pPr>
              <w:widowControl/>
              <w:jc w:val="center"/>
              <w:rPr>
                <w:rFonts w:hint="eastAsia" w:ascii="仿宋" w:hAnsi="仿宋" w:eastAsia="仿宋" w:cs="仿宋"/>
                <w:kern w:val="0"/>
                <w:sz w:val="22"/>
              </w:rPr>
            </w:pPr>
            <w:r>
              <w:rPr>
                <w:rFonts w:hint="eastAsia" w:ascii="仿宋" w:hAnsi="仿宋" w:eastAsia="仿宋" w:cs="仿宋"/>
                <w:color w:val="000000"/>
                <w:kern w:val="0"/>
                <w:sz w:val="22"/>
                <w:lang w:bidi="ar"/>
              </w:rPr>
              <w:t>整顿</w:t>
            </w:r>
          </w:p>
        </w:tc>
        <w:tc>
          <w:tcPr>
            <w:tcW w:w="876" w:type="dxa"/>
            <w:vMerge w:val="restart"/>
            <w:noWrap w:val="0"/>
            <w:vAlign w:val="center"/>
          </w:tcPr>
          <w:p>
            <w:pPr>
              <w:widowControl/>
              <w:jc w:val="center"/>
              <w:rPr>
                <w:rFonts w:hint="eastAsia" w:ascii="仿宋" w:hAnsi="仿宋" w:eastAsia="仿宋" w:cs="仿宋"/>
                <w:kern w:val="0"/>
                <w:sz w:val="22"/>
              </w:rPr>
            </w:pPr>
            <w:r>
              <w:rPr>
                <w:rFonts w:hint="eastAsia" w:ascii="仿宋" w:hAnsi="仿宋" w:eastAsia="仿宋" w:cs="仿宋"/>
                <w:color w:val="000000"/>
                <w:kern w:val="0"/>
                <w:sz w:val="22"/>
                <w:lang w:bidi="ar"/>
              </w:rPr>
              <w:t>暂扣吊</w:t>
            </w:r>
          </w:p>
          <w:p>
            <w:pPr>
              <w:widowControl/>
              <w:jc w:val="center"/>
              <w:rPr>
                <w:rFonts w:hint="eastAsia" w:ascii="仿宋" w:hAnsi="仿宋" w:eastAsia="仿宋" w:cs="仿宋"/>
                <w:kern w:val="0"/>
                <w:sz w:val="22"/>
              </w:rPr>
            </w:pPr>
            <w:r>
              <w:rPr>
                <w:rFonts w:hint="eastAsia" w:ascii="仿宋" w:hAnsi="仿宋" w:eastAsia="仿宋" w:cs="仿宋"/>
                <w:color w:val="000000"/>
                <w:kern w:val="0"/>
                <w:sz w:val="22"/>
                <w:lang w:bidi="ar"/>
              </w:rPr>
              <w:t>销证照</w:t>
            </w:r>
          </w:p>
        </w:tc>
        <w:tc>
          <w:tcPr>
            <w:tcW w:w="876" w:type="dxa"/>
            <w:vMerge w:val="restart"/>
            <w:noWrap w:val="0"/>
            <w:vAlign w:val="center"/>
          </w:tcPr>
          <w:p>
            <w:pPr>
              <w:widowControl/>
              <w:jc w:val="center"/>
              <w:rPr>
                <w:rFonts w:hint="eastAsia" w:ascii="仿宋" w:hAnsi="仿宋" w:eastAsia="仿宋" w:cs="仿宋"/>
                <w:kern w:val="0"/>
                <w:sz w:val="22"/>
              </w:rPr>
            </w:pPr>
            <w:r>
              <w:rPr>
                <w:rFonts w:hint="eastAsia" w:ascii="仿宋" w:hAnsi="仿宋" w:eastAsia="仿宋" w:cs="仿宋"/>
                <w:color w:val="000000"/>
                <w:kern w:val="0"/>
                <w:sz w:val="22"/>
                <w:lang w:bidi="ar"/>
              </w:rPr>
              <w:t>关闭</w:t>
            </w:r>
          </w:p>
          <w:p>
            <w:pPr>
              <w:widowControl/>
              <w:jc w:val="center"/>
              <w:rPr>
                <w:rFonts w:hint="eastAsia" w:ascii="仿宋" w:hAnsi="仿宋" w:eastAsia="仿宋" w:cs="仿宋"/>
                <w:kern w:val="0"/>
                <w:sz w:val="22"/>
              </w:rPr>
            </w:pPr>
            <w:r>
              <w:rPr>
                <w:rFonts w:hint="eastAsia" w:ascii="仿宋" w:hAnsi="仿宋" w:eastAsia="仿宋" w:cs="仿宋"/>
                <w:color w:val="000000"/>
                <w:kern w:val="0"/>
                <w:sz w:val="22"/>
                <w:lang w:bidi="ar"/>
              </w:rPr>
              <w:t>取缔</w:t>
            </w:r>
          </w:p>
        </w:tc>
        <w:tc>
          <w:tcPr>
            <w:tcW w:w="1004" w:type="dxa"/>
            <w:vMerge w:val="continue"/>
            <w:noWrap w:val="0"/>
            <w:vAlign w:val="center"/>
          </w:tcPr>
          <w:p>
            <w:pPr>
              <w:jc w:val="center"/>
              <w:rPr>
                <w:rFonts w:hint="eastAsia" w:ascii="仿宋" w:hAnsi="仿宋" w:eastAsia="仿宋" w:cs="仿宋"/>
                <w:kern w:val="0"/>
                <w:sz w:val="22"/>
              </w:rPr>
            </w:pPr>
          </w:p>
        </w:tc>
        <w:tc>
          <w:tcPr>
            <w:tcW w:w="876" w:type="dxa"/>
            <w:vMerge w:val="restart"/>
            <w:noWrap w:val="0"/>
            <w:vAlign w:val="center"/>
          </w:tcPr>
          <w:p>
            <w:pPr>
              <w:jc w:val="center"/>
              <w:rPr>
                <w:rFonts w:hint="eastAsia" w:ascii="仿宋" w:hAnsi="仿宋" w:eastAsia="仿宋" w:cs="仿宋"/>
                <w:kern w:val="0"/>
                <w:sz w:val="22"/>
              </w:rPr>
            </w:pPr>
            <w:r>
              <w:rPr>
                <w:rFonts w:hint="eastAsia" w:ascii="仿宋" w:hAnsi="仿宋" w:eastAsia="仿宋" w:cs="仿宋"/>
                <w:kern w:val="0"/>
                <w:sz w:val="22"/>
              </w:rPr>
              <w:t>曝光单</w:t>
            </w:r>
          </w:p>
          <w:p>
            <w:pPr>
              <w:jc w:val="center"/>
              <w:rPr>
                <w:rFonts w:hint="eastAsia" w:ascii="仿宋" w:hAnsi="仿宋" w:eastAsia="仿宋" w:cs="仿宋"/>
                <w:kern w:val="0"/>
                <w:sz w:val="22"/>
              </w:rPr>
            </w:pPr>
            <w:r>
              <w:rPr>
                <w:rFonts w:hint="eastAsia" w:ascii="仿宋" w:hAnsi="仿宋" w:eastAsia="仿宋" w:cs="仿宋"/>
                <w:kern w:val="0"/>
                <w:sz w:val="22"/>
              </w:rPr>
              <w:t>位</w:t>
            </w:r>
          </w:p>
        </w:tc>
        <w:tc>
          <w:tcPr>
            <w:tcW w:w="883" w:type="dxa"/>
            <w:vMerge w:val="restart"/>
            <w:noWrap w:val="0"/>
            <w:vAlign w:val="center"/>
          </w:tcPr>
          <w:p>
            <w:pPr>
              <w:jc w:val="center"/>
              <w:rPr>
                <w:rFonts w:ascii="仿宋" w:hAnsi="仿宋" w:eastAsia="仿宋" w:cs="仿宋"/>
                <w:kern w:val="0"/>
                <w:sz w:val="22"/>
              </w:rPr>
            </w:pPr>
            <w:r>
              <w:rPr>
                <w:rFonts w:hint="eastAsia" w:ascii="仿宋" w:hAnsi="仿宋" w:eastAsia="仿宋" w:cs="仿宋"/>
                <w:kern w:val="0"/>
                <w:sz w:val="22"/>
              </w:rPr>
              <w:t>问责个人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436" w:type="dxa"/>
            <w:vMerge w:val="continue"/>
            <w:noWrap w:val="0"/>
            <w:vAlign w:val="center"/>
          </w:tcPr>
          <w:p>
            <w:pPr>
              <w:jc w:val="center"/>
              <w:rPr>
                <w:rFonts w:hint="eastAsia" w:ascii="仿宋" w:hAnsi="仿宋" w:eastAsia="仿宋" w:cs="仿宋"/>
                <w:kern w:val="0"/>
                <w:sz w:val="22"/>
              </w:rPr>
            </w:pPr>
          </w:p>
        </w:tc>
        <w:tc>
          <w:tcPr>
            <w:tcW w:w="807" w:type="dxa"/>
            <w:vMerge w:val="continue"/>
            <w:noWrap w:val="0"/>
            <w:vAlign w:val="center"/>
          </w:tcPr>
          <w:p>
            <w:pPr>
              <w:jc w:val="center"/>
              <w:rPr>
                <w:rFonts w:hint="eastAsia" w:ascii="仿宋" w:hAnsi="仿宋" w:eastAsia="仿宋" w:cs="仿宋"/>
                <w:kern w:val="0"/>
                <w:sz w:val="22"/>
              </w:rPr>
            </w:pPr>
          </w:p>
        </w:tc>
        <w:tc>
          <w:tcPr>
            <w:tcW w:w="832" w:type="dxa"/>
            <w:vMerge w:val="continue"/>
            <w:noWrap w:val="0"/>
            <w:vAlign w:val="center"/>
          </w:tcPr>
          <w:p>
            <w:pPr>
              <w:jc w:val="center"/>
              <w:rPr>
                <w:rFonts w:hint="eastAsia" w:ascii="仿宋" w:hAnsi="仿宋" w:eastAsia="仿宋" w:cs="仿宋"/>
                <w:kern w:val="0"/>
                <w:sz w:val="22"/>
              </w:rPr>
            </w:pPr>
          </w:p>
        </w:tc>
        <w:tc>
          <w:tcPr>
            <w:tcW w:w="823" w:type="dxa"/>
            <w:noWrap w:val="0"/>
            <w:vAlign w:val="center"/>
          </w:tcPr>
          <w:p>
            <w:pPr>
              <w:jc w:val="center"/>
              <w:rPr>
                <w:rFonts w:hint="eastAsia" w:ascii="仿宋" w:hAnsi="仿宋" w:eastAsia="仿宋" w:cs="仿宋"/>
                <w:kern w:val="0"/>
                <w:sz w:val="22"/>
                <w:lang w:eastAsia="zh-CN"/>
              </w:rPr>
            </w:pPr>
            <w:r>
              <w:rPr>
                <w:rFonts w:hint="eastAsia" w:ascii="仿宋" w:hAnsi="仿宋" w:eastAsia="仿宋" w:cs="仿宋"/>
                <w:kern w:val="0"/>
                <w:sz w:val="22"/>
                <w:lang w:eastAsia="zh-CN"/>
              </w:rPr>
              <w:t>排查</w:t>
            </w:r>
          </w:p>
        </w:tc>
        <w:tc>
          <w:tcPr>
            <w:tcW w:w="902" w:type="dxa"/>
            <w:noWrap w:val="0"/>
            <w:vAlign w:val="center"/>
          </w:tcPr>
          <w:p>
            <w:pPr>
              <w:jc w:val="center"/>
              <w:rPr>
                <w:rFonts w:hint="eastAsia" w:ascii="仿宋" w:hAnsi="仿宋" w:eastAsia="仿宋" w:cs="仿宋"/>
                <w:kern w:val="0"/>
                <w:sz w:val="22"/>
                <w:lang w:eastAsia="zh-CN"/>
              </w:rPr>
            </w:pPr>
            <w:r>
              <w:rPr>
                <w:rFonts w:hint="eastAsia" w:ascii="仿宋" w:hAnsi="仿宋" w:eastAsia="仿宋" w:cs="仿宋"/>
                <w:kern w:val="0"/>
                <w:sz w:val="22"/>
                <w:lang w:eastAsia="zh-CN"/>
              </w:rPr>
              <w:t>查处</w:t>
            </w:r>
          </w:p>
        </w:tc>
        <w:tc>
          <w:tcPr>
            <w:tcW w:w="876" w:type="dxa"/>
            <w:noWrap w:val="0"/>
            <w:vAlign w:val="center"/>
          </w:tcPr>
          <w:p>
            <w:pPr>
              <w:widowControl/>
              <w:jc w:val="center"/>
              <w:rPr>
                <w:rFonts w:hint="eastAsia" w:ascii="仿宋" w:hAnsi="仿宋" w:eastAsia="仿宋" w:cs="仿宋"/>
                <w:color w:val="000000"/>
                <w:kern w:val="0"/>
                <w:sz w:val="22"/>
                <w:lang w:bidi="ar"/>
              </w:rPr>
            </w:pPr>
          </w:p>
          <w:p>
            <w:pPr>
              <w:widowControl/>
              <w:jc w:val="center"/>
              <w:rPr>
                <w:rFonts w:hint="eastAsia" w:ascii="仿宋" w:hAnsi="仿宋" w:eastAsia="仿宋" w:cs="仿宋"/>
                <w:kern w:val="0"/>
                <w:sz w:val="22"/>
              </w:rPr>
            </w:pPr>
            <w:r>
              <w:rPr>
                <w:rFonts w:hint="eastAsia" w:ascii="仿宋" w:hAnsi="仿宋" w:eastAsia="仿宋" w:cs="仿宋"/>
                <w:color w:val="000000"/>
                <w:kern w:val="0"/>
                <w:sz w:val="22"/>
                <w:lang w:bidi="ar"/>
              </w:rPr>
              <w:t>排查</w:t>
            </w:r>
          </w:p>
          <w:p>
            <w:pPr>
              <w:jc w:val="center"/>
              <w:rPr>
                <w:rFonts w:hint="eastAsia" w:ascii="仿宋" w:hAnsi="仿宋" w:eastAsia="仿宋" w:cs="仿宋"/>
                <w:kern w:val="0"/>
                <w:sz w:val="22"/>
              </w:rPr>
            </w:pPr>
          </w:p>
        </w:tc>
        <w:tc>
          <w:tcPr>
            <w:tcW w:w="876" w:type="dxa"/>
            <w:noWrap w:val="0"/>
            <w:vAlign w:val="center"/>
          </w:tcPr>
          <w:p>
            <w:pPr>
              <w:widowControl/>
              <w:jc w:val="center"/>
              <w:rPr>
                <w:rFonts w:hint="eastAsia" w:ascii="仿宋" w:hAnsi="仿宋" w:eastAsia="仿宋" w:cs="仿宋"/>
                <w:color w:val="000000"/>
                <w:kern w:val="0"/>
                <w:sz w:val="22"/>
                <w:lang w:bidi="ar"/>
              </w:rPr>
            </w:pPr>
          </w:p>
          <w:p>
            <w:pPr>
              <w:widowControl/>
              <w:jc w:val="center"/>
              <w:rPr>
                <w:rFonts w:hint="eastAsia" w:ascii="仿宋" w:hAnsi="仿宋" w:eastAsia="仿宋" w:cs="仿宋"/>
                <w:kern w:val="0"/>
                <w:sz w:val="22"/>
              </w:rPr>
            </w:pPr>
            <w:r>
              <w:rPr>
                <w:rFonts w:hint="eastAsia" w:ascii="仿宋" w:hAnsi="仿宋" w:eastAsia="仿宋" w:cs="仿宋"/>
                <w:color w:val="000000"/>
                <w:kern w:val="0"/>
                <w:sz w:val="22"/>
                <w:lang w:bidi="ar"/>
              </w:rPr>
              <w:t>整改</w:t>
            </w:r>
          </w:p>
          <w:p>
            <w:pPr>
              <w:jc w:val="center"/>
              <w:rPr>
                <w:rFonts w:hint="eastAsia" w:ascii="仿宋" w:hAnsi="仿宋" w:eastAsia="仿宋" w:cs="仿宋"/>
                <w:kern w:val="0"/>
                <w:sz w:val="22"/>
              </w:rPr>
            </w:pPr>
          </w:p>
        </w:tc>
        <w:tc>
          <w:tcPr>
            <w:tcW w:w="876" w:type="dxa"/>
            <w:noWrap w:val="0"/>
            <w:vAlign w:val="center"/>
          </w:tcPr>
          <w:p>
            <w:pPr>
              <w:widowControl/>
              <w:jc w:val="center"/>
              <w:rPr>
                <w:rFonts w:hint="eastAsia" w:ascii="仿宋" w:hAnsi="仿宋" w:eastAsia="仿宋" w:cs="仿宋"/>
                <w:color w:val="000000"/>
                <w:kern w:val="0"/>
                <w:sz w:val="22"/>
                <w:lang w:bidi="ar"/>
              </w:rPr>
            </w:pPr>
          </w:p>
          <w:p>
            <w:pPr>
              <w:widowControl/>
              <w:jc w:val="center"/>
              <w:rPr>
                <w:rFonts w:hint="eastAsia" w:ascii="仿宋" w:hAnsi="仿宋" w:eastAsia="仿宋" w:cs="仿宋"/>
                <w:kern w:val="0"/>
                <w:sz w:val="22"/>
              </w:rPr>
            </w:pPr>
            <w:r>
              <w:rPr>
                <w:rFonts w:hint="eastAsia" w:ascii="仿宋" w:hAnsi="仿宋" w:eastAsia="仿宋" w:cs="仿宋"/>
                <w:color w:val="000000"/>
                <w:kern w:val="0"/>
                <w:sz w:val="22"/>
                <w:lang w:bidi="ar"/>
              </w:rPr>
              <w:t>排查</w:t>
            </w:r>
          </w:p>
          <w:p>
            <w:pPr>
              <w:jc w:val="center"/>
              <w:rPr>
                <w:rFonts w:hint="eastAsia" w:ascii="仿宋" w:hAnsi="仿宋" w:eastAsia="仿宋" w:cs="仿宋"/>
                <w:kern w:val="0"/>
                <w:sz w:val="22"/>
              </w:rPr>
            </w:pPr>
          </w:p>
        </w:tc>
        <w:tc>
          <w:tcPr>
            <w:tcW w:w="902" w:type="dxa"/>
            <w:noWrap w:val="0"/>
            <w:vAlign w:val="center"/>
          </w:tcPr>
          <w:p>
            <w:pPr>
              <w:widowControl/>
              <w:jc w:val="center"/>
              <w:rPr>
                <w:rFonts w:hint="eastAsia" w:ascii="仿宋" w:hAnsi="仿宋" w:eastAsia="仿宋" w:cs="仿宋"/>
                <w:kern w:val="0"/>
                <w:sz w:val="22"/>
              </w:rPr>
            </w:pPr>
            <w:r>
              <w:rPr>
                <w:rFonts w:hint="eastAsia" w:ascii="仿宋" w:hAnsi="仿宋" w:eastAsia="仿宋" w:cs="仿宋"/>
                <w:color w:val="000000"/>
                <w:kern w:val="0"/>
                <w:sz w:val="22"/>
                <w:lang w:bidi="ar"/>
              </w:rPr>
              <w:t>整改</w:t>
            </w:r>
          </w:p>
        </w:tc>
        <w:tc>
          <w:tcPr>
            <w:tcW w:w="913" w:type="dxa"/>
            <w:vMerge w:val="continue"/>
            <w:noWrap w:val="0"/>
            <w:vAlign w:val="center"/>
          </w:tcPr>
          <w:p>
            <w:pPr>
              <w:jc w:val="center"/>
              <w:rPr>
                <w:rFonts w:hint="eastAsia" w:ascii="仿宋" w:hAnsi="仿宋" w:eastAsia="仿宋" w:cs="仿宋"/>
                <w:kern w:val="0"/>
                <w:sz w:val="22"/>
              </w:rPr>
            </w:pPr>
          </w:p>
        </w:tc>
        <w:tc>
          <w:tcPr>
            <w:tcW w:w="541" w:type="dxa"/>
            <w:vMerge w:val="continue"/>
            <w:noWrap w:val="0"/>
            <w:vAlign w:val="center"/>
          </w:tcPr>
          <w:p>
            <w:pPr>
              <w:jc w:val="center"/>
              <w:rPr>
                <w:rFonts w:hint="eastAsia" w:ascii="仿宋" w:hAnsi="仿宋" w:eastAsia="仿宋" w:cs="仿宋"/>
                <w:kern w:val="0"/>
                <w:sz w:val="22"/>
              </w:rPr>
            </w:pPr>
          </w:p>
        </w:tc>
        <w:tc>
          <w:tcPr>
            <w:tcW w:w="778" w:type="dxa"/>
            <w:vMerge w:val="continue"/>
            <w:noWrap w:val="0"/>
            <w:vAlign w:val="center"/>
          </w:tcPr>
          <w:p>
            <w:pPr>
              <w:jc w:val="center"/>
              <w:rPr>
                <w:rFonts w:hint="eastAsia" w:ascii="仿宋" w:hAnsi="仿宋" w:eastAsia="仿宋" w:cs="仿宋"/>
                <w:kern w:val="0"/>
                <w:sz w:val="22"/>
              </w:rPr>
            </w:pPr>
          </w:p>
        </w:tc>
        <w:tc>
          <w:tcPr>
            <w:tcW w:w="876" w:type="dxa"/>
            <w:vMerge w:val="continue"/>
            <w:noWrap w:val="0"/>
            <w:vAlign w:val="center"/>
          </w:tcPr>
          <w:p>
            <w:pPr>
              <w:jc w:val="center"/>
              <w:rPr>
                <w:rFonts w:hint="eastAsia" w:ascii="仿宋" w:hAnsi="仿宋" w:eastAsia="仿宋" w:cs="仿宋"/>
                <w:kern w:val="0"/>
                <w:sz w:val="22"/>
              </w:rPr>
            </w:pPr>
          </w:p>
        </w:tc>
        <w:tc>
          <w:tcPr>
            <w:tcW w:w="876" w:type="dxa"/>
            <w:vMerge w:val="continue"/>
            <w:noWrap w:val="0"/>
            <w:vAlign w:val="center"/>
          </w:tcPr>
          <w:p>
            <w:pPr>
              <w:jc w:val="center"/>
              <w:rPr>
                <w:rFonts w:hint="eastAsia" w:ascii="仿宋" w:hAnsi="仿宋" w:eastAsia="仿宋" w:cs="仿宋"/>
                <w:kern w:val="0"/>
                <w:sz w:val="22"/>
              </w:rPr>
            </w:pPr>
          </w:p>
        </w:tc>
        <w:tc>
          <w:tcPr>
            <w:tcW w:w="1004" w:type="dxa"/>
            <w:vMerge w:val="continue"/>
            <w:noWrap w:val="0"/>
            <w:vAlign w:val="center"/>
          </w:tcPr>
          <w:p>
            <w:pPr>
              <w:jc w:val="center"/>
              <w:rPr>
                <w:rFonts w:hint="eastAsia" w:ascii="仿宋" w:hAnsi="仿宋" w:eastAsia="仿宋" w:cs="仿宋"/>
                <w:kern w:val="0"/>
                <w:sz w:val="22"/>
              </w:rPr>
            </w:pPr>
          </w:p>
        </w:tc>
        <w:tc>
          <w:tcPr>
            <w:tcW w:w="876" w:type="dxa"/>
            <w:vMerge w:val="continue"/>
            <w:noWrap w:val="0"/>
            <w:vAlign w:val="center"/>
          </w:tcPr>
          <w:p>
            <w:pPr>
              <w:jc w:val="center"/>
              <w:rPr>
                <w:rFonts w:hint="eastAsia" w:ascii="仿宋" w:hAnsi="仿宋" w:eastAsia="仿宋" w:cs="仿宋"/>
                <w:kern w:val="0"/>
                <w:sz w:val="22"/>
              </w:rPr>
            </w:pPr>
          </w:p>
        </w:tc>
        <w:tc>
          <w:tcPr>
            <w:tcW w:w="883" w:type="dxa"/>
            <w:vMerge w:val="continue"/>
            <w:noWrap w:val="0"/>
            <w:vAlign w:val="center"/>
          </w:tcPr>
          <w:p>
            <w:pPr>
              <w:jc w:val="center"/>
              <w:rPr>
                <w:rFonts w:hint="eastAsia" w:ascii="仿宋" w:hAnsi="仿宋" w:eastAsia="仿宋" w:cs="仿宋"/>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436" w:type="dxa"/>
            <w:vMerge w:val="continue"/>
            <w:noWrap w:val="0"/>
            <w:vAlign w:val="center"/>
          </w:tcPr>
          <w:p>
            <w:pPr>
              <w:jc w:val="center"/>
              <w:rPr>
                <w:rFonts w:hint="eastAsia" w:ascii="仿宋" w:hAnsi="仿宋" w:eastAsia="仿宋" w:cs="仿宋"/>
                <w:kern w:val="0"/>
                <w:sz w:val="22"/>
              </w:rPr>
            </w:pPr>
          </w:p>
        </w:tc>
        <w:tc>
          <w:tcPr>
            <w:tcW w:w="807" w:type="dxa"/>
            <w:noWrap w:val="0"/>
            <w:vAlign w:val="center"/>
          </w:tcPr>
          <w:p>
            <w:pPr>
              <w:jc w:val="center"/>
              <w:rPr>
                <w:rFonts w:hint="eastAsia" w:ascii="仿宋" w:hAnsi="仿宋" w:eastAsia="仿宋" w:cs="仿宋"/>
                <w:kern w:val="0"/>
                <w:sz w:val="22"/>
              </w:rPr>
            </w:pPr>
            <w:r>
              <w:rPr>
                <w:rFonts w:hint="eastAsia" w:ascii="仿宋" w:hAnsi="仿宋" w:eastAsia="仿宋" w:cs="仿宋"/>
                <w:kern w:val="0"/>
                <w:sz w:val="22"/>
              </w:rPr>
              <w:t>（个</w:t>
            </w:r>
            <w:r>
              <w:rPr>
                <w:rFonts w:hint="eastAsia" w:ascii="仿宋" w:hAnsi="仿宋" w:eastAsia="仿宋" w:cs="仿宋"/>
                <w:kern w:val="0"/>
                <w:sz w:val="22"/>
                <w:lang w:val="en-US" w:eastAsia="zh-CN"/>
              </w:rPr>
              <w:t>/次</w:t>
            </w:r>
            <w:r>
              <w:rPr>
                <w:rFonts w:hint="eastAsia" w:ascii="仿宋" w:hAnsi="仿宋" w:eastAsia="仿宋" w:cs="仿宋"/>
                <w:kern w:val="0"/>
                <w:sz w:val="22"/>
              </w:rPr>
              <w:t>）</w:t>
            </w:r>
          </w:p>
        </w:tc>
        <w:tc>
          <w:tcPr>
            <w:tcW w:w="832" w:type="dxa"/>
            <w:noWrap w:val="0"/>
            <w:vAlign w:val="center"/>
          </w:tcPr>
          <w:p>
            <w:pPr>
              <w:jc w:val="center"/>
              <w:rPr>
                <w:rFonts w:hint="eastAsia" w:ascii="仿宋" w:hAnsi="仿宋" w:eastAsia="仿宋" w:cs="仿宋"/>
                <w:kern w:val="0"/>
                <w:sz w:val="22"/>
              </w:rPr>
            </w:pPr>
            <w:r>
              <w:rPr>
                <w:rFonts w:hint="eastAsia" w:ascii="仿宋" w:hAnsi="仿宋" w:eastAsia="仿宋" w:cs="仿宋"/>
                <w:kern w:val="0"/>
                <w:sz w:val="22"/>
              </w:rPr>
              <w:t>（家）</w:t>
            </w:r>
          </w:p>
        </w:tc>
        <w:tc>
          <w:tcPr>
            <w:tcW w:w="823" w:type="dxa"/>
            <w:noWrap w:val="0"/>
            <w:vAlign w:val="center"/>
          </w:tcPr>
          <w:p>
            <w:pPr>
              <w:jc w:val="center"/>
              <w:rPr>
                <w:rFonts w:hint="eastAsia" w:ascii="仿宋" w:hAnsi="仿宋" w:eastAsia="仿宋" w:cs="仿宋"/>
                <w:kern w:val="0"/>
                <w:sz w:val="22"/>
              </w:rPr>
            </w:pPr>
            <w:r>
              <w:rPr>
                <w:rFonts w:hint="eastAsia" w:ascii="仿宋" w:hAnsi="仿宋" w:eastAsia="仿宋" w:cs="仿宋"/>
                <w:kern w:val="0"/>
                <w:sz w:val="22"/>
              </w:rPr>
              <w:t>（项）</w:t>
            </w:r>
          </w:p>
        </w:tc>
        <w:tc>
          <w:tcPr>
            <w:tcW w:w="902" w:type="dxa"/>
            <w:noWrap w:val="0"/>
            <w:vAlign w:val="center"/>
          </w:tcPr>
          <w:p>
            <w:pPr>
              <w:jc w:val="center"/>
              <w:rPr>
                <w:rFonts w:hint="eastAsia" w:ascii="仿宋" w:hAnsi="仿宋" w:eastAsia="仿宋" w:cs="仿宋"/>
                <w:kern w:val="0"/>
                <w:sz w:val="22"/>
              </w:rPr>
            </w:pPr>
            <w:r>
              <w:rPr>
                <w:rFonts w:hint="eastAsia" w:ascii="仿宋" w:hAnsi="仿宋" w:eastAsia="仿宋" w:cs="仿宋"/>
                <w:kern w:val="0"/>
                <w:sz w:val="22"/>
              </w:rPr>
              <w:t>（个）</w:t>
            </w:r>
          </w:p>
        </w:tc>
        <w:tc>
          <w:tcPr>
            <w:tcW w:w="876" w:type="dxa"/>
            <w:noWrap w:val="0"/>
            <w:vAlign w:val="center"/>
          </w:tcPr>
          <w:p>
            <w:pPr>
              <w:jc w:val="center"/>
              <w:rPr>
                <w:rFonts w:hint="eastAsia" w:ascii="仿宋" w:hAnsi="仿宋" w:eastAsia="仿宋" w:cs="仿宋"/>
                <w:kern w:val="0"/>
                <w:sz w:val="22"/>
              </w:rPr>
            </w:pPr>
            <w:r>
              <w:rPr>
                <w:rFonts w:hint="eastAsia" w:ascii="仿宋" w:hAnsi="仿宋" w:eastAsia="仿宋" w:cs="仿宋"/>
                <w:kern w:val="0"/>
                <w:sz w:val="22"/>
              </w:rPr>
              <w:t>（项）</w:t>
            </w:r>
          </w:p>
        </w:tc>
        <w:tc>
          <w:tcPr>
            <w:tcW w:w="876" w:type="dxa"/>
            <w:noWrap w:val="0"/>
            <w:vAlign w:val="center"/>
          </w:tcPr>
          <w:p>
            <w:pPr>
              <w:jc w:val="center"/>
              <w:rPr>
                <w:rFonts w:hint="eastAsia" w:ascii="仿宋" w:hAnsi="仿宋" w:eastAsia="仿宋" w:cs="仿宋"/>
                <w:kern w:val="0"/>
                <w:sz w:val="22"/>
              </w:rPr>
            </w:pPr>
            <w:r>
              <w:rPr>
                <w:rFonts w:hint="eastAsia" w:ascii="仿宋" w:hAnsi="仿宋" w:eastAsia="仿宋" w:cs="仿宋"/>
                <w:kern w:val="0"/>
                <w:sz w:val="22"/>
              </w:rPr>
              <w:t>（项）</w:t>
            </w:r>
          </w:p>
        </w:tc>
        <w:tc>
          <w:tcPr>
            <w:tcW w:w="876" w:type="dxa"/>
            <w:noWrap w:val="0"/>
            <w:vAlign w:val="center"/>
          </w:tcPr>
          <w:p>
            <w:pPr>
              <w:jc w:val="center"/>
              <w:rPr>
                <w:rFonts w:hint="eastAsia" w:ascii="仿宋" w:hAnsi="仿宋" w:eastAsia="仿宋" w:cs="仿宋"/>
                <w:kern w:val="0"/>
                <w:sz w:val="22"/>
              </w:rPr>
            </w:pPr>
            <w:r>
              <w:rPr>
                <w:rFonts w:hint="eastAsia" w:ascii="仿宋" w:hAnsi="仿宋" w:eastAsia="仿宋" w:cs="仿宋"/>
                <w:kern w:val="0"/>
                <w:sz w:val="22"/>
              </w:rPr>
              <w:t>（项）</w:t>
            </w:r>
          </w:p>
        </w:tc>
        <w:tc>
          <w:tcPr>
            <w:tcW w:w="902" w:type="dxa"/>
            <w:noWrap w:val="0"/>
            <w:vAlign w:val="center"/>
          </w:tcPr>
          <w:p>
            <w:pPr>
              <w:jc w:val="center"/>
              <w:rPr>
                <w:rFonts w:hint="eastAsia" w:ascii="仿宋" w:hAnsi="仿宋" w:eastAsia="仿宋" w:cs="仿宋"/>
                <w:kern w:val="0"/>
                <w:sz w:val="22"/>
              </w:rPr>
            </w:pPr>
            <w:r>
              <w:rPr>
                <w:rFonts w:hint="eastAsia" w:ascii="仿宋" w:hAnsi="仿宋" w:eastAsia="仿宋" w:cs="仿宋"/>
                <w:kern w:val="0"/>
                <w:sz w:val="22"/>
              </w:rPr>
              <w:t>（项）</w:t>
            </w:r>
          </w:p>
        </w:tc>
        <w:tc>
          <w:tcPr>
            <w:tcW w:w="913" w:type="dxa"/>
            <w:noWrap w:val="0"/>
            <w:vAlign w:val="center"/>
          </w:tcPr>
          <w:p>
            <w:pPr>
              <w:jc w:val="center"/>
              <w:rPr>
                <w:rFonts w:hint="eastAsia" w:ascii="仿宋" w:hAnsi="仿宋" w:eastAsia="仿宋" w:cs="仿宋"/>
                <w:kern w:val="0"/>
                <w:sz w:val="22"/>
              </w:rPr>
            </w:pPr>
            <w:r>
              <w:rPr>
                <w:rFonts w:hint="eastAsia" w:ascii="仿宋" w:hAnsi="仿宋" w:eastAsia="仿宋" w:cs="仿宋"/>
                <w:kern w:val="0"/>
                <w:sz w:val="22"/>
              </w:rPr>
              <w:t>（家）</w:t>
            </w:r>
          </w:p>
        </w:tc>
        <w:tc>
          <w:tcPr>
            <w:tcW w:w="541" w:type="dxa"/>
            <w:noWrap w:val="0"/>
            <w:vAlign w:val="center"/>
          </w:tcPr>
          <w:p>
            <w:pPr>
              <w:jc w:val="center"/>
              <w:rPr>
                <w:rFonts w:hint="eastAsia" w:ascii="仿宋" w:hAnsi="仿宋" w:eastAsia="仿宋" w:cs="仿宋"/>
                <w:kern w:val="0"/>
                <w:sz w:val="22"/>
              </w:rPr>
            </w:pPr>
            <w:r>
              <w:rPr>
                <w:rFonts w:hint="eastAsia" w:ascii="仿宋" w:hAnsi="仿宋" w:eastAsia="仿宋" w:cs="仿宋"/>
                <w:kern w:val="0"/>
                <w:sz w:val="22"/>
              </w:rPr>
              <w:t>万元</w:t>
            </w:r>
          </w:p>
        </w:tc>
        <w:tc>
          <w:tcPr>
            <w:tcW w:w="778" w:type="dxa"/>
            <w:noWrap w:val="0"/>
            <w:vAlign w:val="center"/>
          </w:tcPr>
          <w:p>
            <w:pPr>
              <w:jc w:val="center"/>
              <w:rPr>
                <w:rFonts w:hint="eastAsia" w:ascii="仿宋" w:hAnsi="仿宋" w:eastAsia="仿宋" w:cs="仿宋"/>
                <w:kern w:val="0"/>
                <w:sz w:val="22"/>
              </w:rPr>
            </w:pPr>
            <w:r>
              <w:rPr>
                <w:rFonts w:hint="eastAsia" w:ascii="仿宋" w:hAnsi="仿宋" w:eastAsia="仿宋" w:cs="仿宋"/>
                <w:kern w:val="0"/>
                <w:sz w:val="22"/>
              </w:rPr>
              <w:t>（家）</w:t>
            </w:r>
          </w:p>
        </w:tc>
        <w:tc>
          <w:tcPr>
            <w:tcW w:w="876" w:type="dxa"/>
            <w:noWrap w:val="0"/>
            <w:vAlign w:val="center"/>
          </w:tcPr>
          <w:p>
            <w:pPr>
              <w:jc w:val="center"/>
              <w:rPr>
                <w:rFonts w:hint="eastAsia" w:ascii="仿宋" w:hAnsi="仿宋" w:eastAsia="仿宋" w:cs="仿宋"/>
                <w:kern w:val="0"/>
                <w:sz w:val="22"/>
              </w:rPr>
            </w:pPr>
            <w:r>
              <w:rPr>
                <w:rFonts w:hint="eastAsia" w:ascii="仿宋" w:hAnsi="仿宋" w:eastAsia="仿宋" w:cs="仿宋"/>
                <w:kern w:val="0"/>
                <w:sz w:val="22"/>
              </w:rPr>
              <w:t>（个）</w:t>
            </w:r>
          </w:p>
        </w:tc>
        <w:tc>
          <w:tcPr>
            <w:tcW w:w="876" w:type="dxa"/>
            <w:noWrap w:val="0"/>
            <w:vAlign w:val="center"/>
          </w:tcPr>
          <w:p>
            <w:pPr>
              <w:jc w:val="center"/>
              <w:rPr>
                <w:rFonts w:hint="eastAsia" w:ascii="仿宋" w:hAnsi="仿宋" w:eastAsia="仿宋" w:cs="仿宋"/>
                <w:kern w:val="0"/>
                <w:sz w:val="22"/>
              </w:rPr>
            </w:pPr>
            <w:r>
              <w:rPr>
                <w:rFonts w:hint="eastAsia" w:ascii="仿宋" w:hAnsi="仿宋" w:eastAsia="仿宋" w:cs="仿宋"/>
                <w:kern w:val="0"/>
                <w:sz w:val="22"/>
              </w:rPr>
              <w:t>（家）</w:t>
            </w:r>
          </w:p>
        </w:tc>
        <w:tc>
          <w:tcPr>
            <w:tcW w:w="1004" w:type="dxa"/>
            <w:noWrap w:val="0"/>
            <w:vAlign w:val="center"/>
          </w:tcPr>
          <w:p>
            <w:pPr>
              <w:jc w:val="center"/>
              <w:rPr>
                <w:rFonts w:hint="eastAsia" w:ascii="仿宋" w:hAnsi="仿宋" w:eastAsia="仿宋" w:cs="仿宋"/>
                <w:kern w:val="0"/>
                <w:sz w:val="22"/>
              </w:rPr>
            </w:pPr>
            <w:r>
              <w:rPr>
                <w:rFonts w:hint="eastAsia" w:ascii="仿宋" w:hAnsi="仿宋" w:eastAsia="仿宋" w:cs="仿宋"/>
                <w:kern w:val="0"/>
                <w:sz w:val="22"/>
              </w:rPr>
              <w:t>（人）</w:t>
            </w:r>
          </w:p>
        </w:tc>
        <w:tc>
          <w:tcPr>
            <w:tcW w:w="876" w:type="dxa"/>
            <w:noWrap w:val="0"/>
            <w:vAlign w:val="center"/>
          </w:tcPr>
          <w:p>
            <w:pPr>
              <w:jc w:val="center"/>
              <w:rPr>
                <w:rFonts w:hint="eastAsia" w:ascii="仿宋" w:hAnsi="仿宋" w:eastAsia="仿宋" w:cs="仿宋"/>
                <w:kern w:val="0"/>
                <w:sz w:val="22"/>
              </w:rPr>
            </w:pPr>
            <w:r>
              <w:rPr>
                <w:rFonts w:hint="eastAsia" w:ascii="仿宋" w:hAnsi="仿宋" w:eastAsia="仿宋" w:cs="仿宋"/>
                <w:kern w:val="0"/>
                <w:sz w:val="22"/>
              </w:rPr>
              <w:t>（家）</w:t>
            </w:r>
          </w:p>
        </w:tc>
        <w:tc>
          <w:tcPr>
            <w:tcW w:w="883" w:type="dxa"/>
            <w:noWrap w:val="0"/>
            <w:vAlign w:val="center"/>
          </w:tcPr>
          <w:p>
            <w:pPr>
              <w:jc w:val="center"/>
              <w:rPr>
                <w:rFonts w:hint="eastAsia" w:ascii="仿宋" w:hAnsi="仿宋" w:eastAsia="仿宋" w:cs="仿宋"/>
                <w:kern w:val="0"/>
                <w:sz w:val="22"/>
              </w:rPr>
            </w:pPr>
            <w:r>
              <w:rPr>
                <w:rFonts w:hint="eastAsia" w:ascii="仿宋" w:hAnsi="仿宋" w:eastAsia="仿宋" w:cs="仿宋"/>
                <w:kern w:val="0"/>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36" w:type="dxa"/>
            <w:noWrap w:val="0"/>
            <w:vAlign w:val="center"/>
          </w:tcPr>
          <w:p>
            <w:pPr>
              <w:jc w:val="center"/>
              <w:rPr>
                <w:rFonts w:hint="eastAsia" w:ascii="仿宋" w:hAnsi="仿宋" w:eastAsia="仿宋" w:cs="仿宋"/>
                <w:kern w:val="0"/>
                <w:sz w:val="22"/>
                <w:lang w:eastAsia="zh-CN"/>
              </w:rPr>
            </w:pPr>
            <w:r>
              <w:rPr>
                <w:rFonts w:hint="eastAsia" w:ascii="仿宋" w:hAnsi="仿宋" w:eastAsia="仿宋" w:cs="仿宋"/>
                <w:kern w:val="0"/>
                <w:sz w:val="22"/>
                <w:lang w:eastAsia="zh-CN"/>
              </w:rPr>
              <w:t>累</w:t>
            </w:r>
          </w:p>
          <w:p>
            <w:pPr>
              <w:jc w:val="center"/>
              <w:rPr>
                <w:rFonts w:hint="eastAsia" w:ascii="仿宋" w:hAnsi="仿宋" w:eastAsia="仿宋" w:cs="仿宋"/>
                <w:kern w:val="0"/>
                <w:sz w:val="22"/>
                <w:lang w:eastAsia="zh-CN"/>
              </w:rPr>
            </w:pPr>
            <w:r>
              <w:rPr>
                <w:rFonts w:hint="eastAsia" w:ascii="仿宋" w:hAnsi="仿宋" w:eastAsia="仿宋" w:cs="仿宋"/>
                <w:kern w:val="0"/>
                <w:sz w:val="22"/>
                <w:lang w:eastAsia="zh-CN"/>
              </w:rPr>
              <w:t>计</w:t>
            </w:r>
          </w:p>
        </w:tc>
        <w:tc>
          <w:tcPr>
            <w:tcW w:w="807" w:type="dxa"/>
            <w:noWrap w:val="0"/>
            <w:vAlign w:val="center"/>
          </w:tcPr>
          <w:p>
            <w:pPr>
              <w:jc w:val="center"/>
              <w:rPr>
                <w:rFonts w:hint="eastAsia" w:ascii="仿宋" w:hAnsi="仿宋" w:eastAsia="仿宋" w:cs="仿宋"/>
                <w:kern w:val="0"/>
                <w:sz w:val="22"/>
              </w:rPr>
            </w:pPr>
          </w:p>
        </w:tc>
        <w:tc>
          <w:tcPr>
            <w:tcW w:w="832" w:type="dxa"/>
            <w:noWrap w:val="0"/>
            <w:vAlign w:val="center"/>
          </w:tcPr>
          <w:p>
            <w:pPr>
              <w:jc w:val="center"/>
              <w:rPr>
                <w:rFonts w:hint="eastAsia" w:ascii="仿宋" w:hAnsi="仿宋" w:eastAsia="仿宋" w:cs="仿宋"/>
                <w:kern w:val="0"/>
                <w:sz w:val="22"/>
              </w:rPr>
            </w:pPr>
          </w:p>
        </w:tc>
        <w:tc>
          <w:tcPr>
            <w:tcW w:w="823" w:type="dxa"/>
            <w:noWrap w:val="0"/>
            <w:vAlign w:val="center"/>
          </w:tcPr>
          <w:p>
            <w:pPr>
              <w:jc w:val="center"/>
              <w:rPr>
                <w:rFonts w:hint="eastAsia" w:ascii="仿宋" w:hAnsi="仿宋" w:eastAsia="仿宋" w:cs="仿宋"/>
                <w:kern w:val="0"/>
                <w:sz w:val="22"/>
              </w:rPr>
            </w:pPr>
          </w:p>
        </w:tc>
        <w:tc>
          <w:tcPr>
            <w:tcW w:w="902" w:type="dxa"/>
            <w:noWrap w:val="0"/>
            <w:vAlign w:val="center"/>
          </w:tcPr>
          <w:p>
            <w:pPr>
              <w:jc w:val="center"/>
              <w:rPr>
                <w:rFonts w:hint="eastAsia" w:ascii="仿宋" w:hAnsi="仿宋" w:eastAsia="仿宋" w:cs="仿宋"/>
                <w:kern w:val="0"/>
                <w:sz w:val="22"/>
              </w:rPr>
            </w:pPr>
          </w:p>
        </w:tc>
        <w:tc>
          <w:tcPr>
            <w:tcW w:w="876" w:type="dxa"/>
            <w:noWrap w:val="0"/>
            <w:vAlign w:val="center"/>
          </w:tcPr>
          <w:p>
            <w:pPr>
              <w:jc w:val="center"/>
              <w:rPr>
                <w:rFonts w:hint="eastAsia" w:ascii="仿宋" w:hAnsi="仿宋" w:eastAsia="仿宋" w:cs="仿宋"/>
                <w:kern w:val="0"/>
                <w:sz w:val="22"/>
              </w:rPr>
            </w:pPr>
          </w:p>
        </w:tc>
        <w:tc>
          <w:tcPr>
            <w:tcW w:w="876" w:type="dxa"/>
            <w:noWrap w:val="0"/>
            <w:vAlign w:val="center"/>
          </w:tcPr>
          <w:p>
            <w:pPr>
              <w:jc w:val="center"/>
              <w:rPr>
                <w:rFonts w:hint="eastAsia" w:ascii="仿宋" w:hAnsi="仿宋" w:eastAsia="仿宋" w:cs="仿宋"/>
                <w:kern w:val="0"/>
                <w:sz w:val="22"/>
              </w:rPr>
            </w:pPr>
          </w:p>
        </w:tc>
        <w:tc>
          <w:tcPr>
            <w:tcW w:w="876" w:type="dxa"/>
            <w:noWrap w:val="0"/>
            <w:vAlign w:val="center"/>
          </w:tcPr>
          <w:p>
            <w:pPr>
              <w:jc w:val="center"/>
              <w:rPr>
                <w:rFonts w:hint="eastAsia" w:ascii="仿宋" w:hAnsi="仿宋" w:eastAsia="仿宋" w:cs="仿宋"/>
                <w:kern w:val="0"/>
                <w:sz w:val="22"/>
              </w:rPr>
            </w:pPr>
          </w:p>
        </w:tc>
        <w:tc>
          <w:tcPr>
            <w:tcW w:w="902" w:type="dxa"/>
            <w:noWrap w:val="0"/>
            <w:vAlign w:val="center"/>
          </w:tcPr>
          <w:p>
            <w:pPr>
              <w:jc w:val="center"/>
              <w:rPr>
                <w:rFonts w:hint="eastAsia" w:ascii="仿宋" w:hAnsi="仿宋" w:eastAsia="仿宋" w:cs="仿宋"/>
                <w:kern w:val="0"/>
                <w:sz w:val="22"/>
              </w:rPr>
            </w:pPr>
          </w:p>
        </w:tc>
        <w:tc>
          <w:tcPr>
            <w:tcW w:w="913" w:type="dxa"/>
            <w:noWrap w:val="0"/>
            <w:vAlign w:val="center"/>
          </w:tcPr>
          <w:p>
            <w:pPr>
              <w:jc w:val="center"/>
              <w:rPr>
                <w:rFonts w:hint="eastAsia" w:ascii="仿宋" w:hAnsi="仿宋" w:eastAsia="仿宋" w:cs="仿宋"/>
                <w:kern w:val="0"/>
                <w:sz w:val="22"/>
              </w:rPr>
            </w:pPr>
          </w:p>
        </w:tc>
        <w:tc>
          <w:tcPr>
            <w:tcW w:w="541" w:type="dxa"/>
            <w:noWrap w:val="0"/>
            <w:vAlign w:val="center"/>
          </w:tcPr>
          <w:p>
            <w:pPr>
              <w:jc w:val="center"/>
              <w:rPr>
                <w:rFonts w:hint="eastAsia" w:ascii="仿宋" w:hAnsi="仿宋" w:eastAsia="仿宋" w:cs="仿宋"/>
                <w:kern w:val="0"/>
                <w:sz w:val="22"/>
              </w:rPr>
            </w:pPr>
          </w:p>
        </w:tc>
        <w:tc>
          <w:tcPr>
            <w:tcW w:w="778" w:type="dxa"/>
            <w:noWrap w:val="0"/>
            <w:vAlign w:val="center"/>
          </w:tcPr>
          <w:p>
            <w:pPr>
              <w:jc w:val="center"/>
              <w:rPr>
                <w:rFonts w:hint="eastAsia" w:ascii="仿宋" w:hAnsi="仿宋" w:eastAsia="仿宋" w:cs="仿宋"/>
                <w:kern w:val="0"/>
                <w:sz w:val="22"/>
              </w:rPr>
            </w:pPr>
          </w:p>
        </w:tc>
        <w:tc>
          <w:tcPr>
            <w:tcW w:w="876" w:type="dxa"/>
            <w:noWrap w:val="0"/>
            <w:vAlign w:val="center"/>
          </w:tcPr>
          <w:p>
            <w:pPr>
              <w:jc w:val="center"/>
              <w:rPr>
                <w:rFonts w:hint="eastAsia" w:ascii="仿宋" w:hAnsi="仿宋" w:eastAsia="仿宋" w:cs="仿宋"/>
                <w:kern w:val="0"/>
                <w:sz w:val="22"/>
              </w:rPr>
            </w:pPr>
          </w:p>
        </w:tc>
        <w:tc>
          <w:tcPr>
            <w:tcW w:w="876" w:type="dxa"/>
            <w:noWrap w:val="0"/>
            <w:vAlign w:val="center"/>
          </w:tcPr>
          <w:p>
            <w:pPr>
              <w:jc w:val="center"/>
              <w:rPr>
                <w:rFonts w:hint="eastAsia" w:ascii="仿宋" w:hAnsi="仿宋" w:eastAsia="仿宋" w:cs="仿宋"/>
                <w:kern w:val="0"/>
                <w:sz w:val="22"/>
              </w:rPr>
            </w:pPr>
          </w:p>
        </w:tc>
        <w:tc>
          <w:tcPr>
            <w:tcW w:w="1004" w:type="dxa"/>
            <w:noWrap w:val="0"/>
            <w:vAlign w:val="center"/>
          </w:tcPr>
          <w:p>
            <w:pPr>
              <w:jc w:val="center"/>
              <w:rPr>
                <w:rFonts w:hint="eastAsia" w:ascii="仿宋" w:hAnsi="仿宋" w:eastAsia="仿宋" w:cs="仿宋"/>
                <w:kern w:val="0"/>
                <w:sz w:val="22"/>
              </w:rPr>
            </w:pPr>
          </w:p>
        </w:tc>
        <w:tc>
          <w:tcPr>
            <w:tcW w:w="876" w:type="dxa"/>
            <w:noWrap w:val="0"/>
            <w:vAlign w:val="center"/>
          </w:tcPr>
          <w:p>
            <w:pPr>
              <w:jc w:val="center"/>
              <w:rPr>
                <w:rFonts w:hint="eastAsia" w:ascii="仿宋" w:hAnsi="仿宋" w:eastAsia="仿宋" w:cs="仿宋"/>
                <w:kern w:val="0"/>
                <w:sz w:val="22"/>
              </w:rPr>
            </w:pPr>
          </w:p>
        </w:tc>
        <w:tc>
          <w:tcPr>
            <w:tcW w:w="883" w:type="dxa"/>
            <w:noWrap w:val="0"/>
            <w:vAlign w:val="center"/>
          </w:tcPr>
          <w:p>
            <w:pPr>
              <w:jc w:val="center"/>
              <w:rPr>
                <w:rFonts w:hint="eastAsia" w:ascii="仿宋" w:hAnsi="仿宋" w:eastAsia="仿宋" w:cs="仿宋"/>
                <w:kern w:val="0"/>
                <w:sz w:val="22"/>
              </w:rPr>
            </w:pPr>
          </w:p>
        </w:tc>
      </w:tr>
    </w:tbl>
    <w:p>
      <w:pPr>
        <w:rPr>
          <w:rFonts w:hint="eastAsia"/>
          <w:lang w:val="en-US" w:eastAsia="zh-CN"/>
        </w:rPr>
      </w:pPr>
      <w:r>
        <w:rPr>
          <w:rFonts w:hint="eastAsia"/>
          <w:lang w:val="en-US" w:eastAsia="zh-CN"/>
        </w:rPr>
        <w:t>注：专项行动领导组办公室只统计汇总本级数据。</w:t>
      </w:r>
    </w:p>
    <w:p>
      <w:pPr>
        <w:pStyle w:val="11"/>
        <w:spacing w:after="0" w:line="240" w:lineRule="auto"/>
        <w:rPr>
          <w:rFonts w:hint="eastAsia"/>
          <w:lang w:val="en-US" w:eastAsia="zh-CN"/>
        </w:rPr>
      </w:pPr>
    </w:p>
    <w:sectPr>
      <w:footerReference r:id="rId5" w:type="default"/>
      <w:pgSz w:w="16838" w:h="11906" w:orient="landscape"/>
      <w:pgMar w:top="1800" w:right="1440" w:bottom="1800" w:left="144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ans-seri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4111" o:spid="_x0000_s411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Y4ZTkwM2VkZWM1YmIzYzkzMDZkNzI1YmUyM2E1ZGUifQ=="/>
  </w:docVars>
  <w:rsids>
    <w:rsidRoot w:val="00000000"/>
    <w:rsid w:val="00724552"/>
    <w:rsid w:val="007D6A53"/>
    <w:rsid w:val="00D54AA4"/>
    <w:rsid w:val="00D86390"/>
    <w:rsid w:val="00EC1424"/>
    <w:rsid w:val="011E6AB0"/>
    <w:rsid w:val="01615AEB"/>
    <w:rsid w:val="01840306"/>
    <w:rsid w:val="018E35C6"/>
    <w:rsid w:val="01C7267B"/>
    <w:rsid w:val="02325728"/>
    <w:rsid w:val="02A227A1"/>
    <w:rsid w:val="02D05560"/>
    <w:rsid w:val="02F010FC"/>
    <w:rsid w:val="02FB1D43"/>
    <w:rsid w:val="03045209"/>
    <w:rsid w:val="031762F2"/>
    <w:rsid w:val="0397297A"/>
    <w:rsid w:val="03A03184"/>
    <w:rsid w:val="03CB6436"/>
    <w:rsid w:val="04691736"/>
    <w:rsid w:val="047777FE"/>
    <w:rsid w:val="04A522F9"/>
    <w:rsid w:val="04F05A45"/>
    <w:rsid w:val="052E656D"/>
    <w:rsid w:val="054A15C1"/>
    <w:rsid w:val="05A4176C"/>
    <w:rsid w:val="05FE44E0"/>
    <w:rsid w:val="06192576"/>
    <w:rsid w:val="061A3C9E"/>
    <w:rsid w:val="06615420"/>
    <w:rsid w:val="06D944B7"/>
    <w:rsid w:val="06FE318B"/>
    <w:rsid w:val="07AD5B38"/>
    <w:rsid w:val="07E07FF3"/>
    <w:rsid w:val="07F92E63"/>
    <w:rsid w:val="080812F8"/>
    <w:rsid w:val="080B252C"/>
    <w:rsid w:val="08593901"/>
    <w:rsid w:val="08626C5A"/>
    <w:rsid w:val="08A50FA1"/>
    <w:rsid w:val="08C2563D"/>
    <w:rsid w:val="091251B0"/>
    <w:rsid w:val="094822F4"/>
    <w:rsid w:val="09862E1C"/>
    <w:rsid w:val="09D17695"/>
    <w:rsid w:val="0A1D695F"/>
    <w:rsid w:val="0A202D62"/>
    <w:rsid w:val="0A2F61EE"/>
    <w:rsid w:val="0AA479FE"/>
    <w:rsid w:val="0AC8020D"/>
    <w:rsid w:val="0AD8028B"/>
    <w:rsid w:val="0BF16C73"/>
    <w:rsid w:val="0C2D551B"/>
    <w:rsid w:val="0C3062DA"/>
    <w:rsid w:val="0C4037A4"/>
    <w:rsid w:val="0DAA7BC8"/>
    <w:rsid w:val="0DD40001"/>
    <w:rsid w:val="0E186E48"/>
    <w:rsid w:val="0E787314"/>
    <w:rsid w:val="0E847CCC"/>
    <w:rsid w:val="0F184516"/>
    <w:rsid w:val="0F3B29CB"/>
    <w:rsid w:val="0FA245B7"/>
    <w:rsid w:val="102C442E"/>
    <w:rsid w:val="104730DE"/>
    <w:rsid w:val="10BF5C87"/>
    <w:rsid w:val="1158545C"/>
    <w:rsid w:val="11692881"/>
    <w:rsid w:val="11B605F5"/>
    <w:rsid w:val="11DB182B"/>
    <w:rsid w:val="12096517"/>
    <w:rsid w:val="12E238EC"/>
    <w:rsid w:val="12E91527"/>
    <w:rsid w:val="1360023A"/>
    <w:rsid w:val="13F04288"/>
    <w:rsid w:val="13F67862"/>
    <w:rsid w:val="14096B23"/>
    <w:rsid w:val="14382F65"/>
    <w:rsid w:val="14FC7EAC"/>
    <w:rsid w:val="150F7963"/>
    <w:rsid w:val="153F797A"/>
    <w:rsid w:val="15981F0D"/>
    <w:rsid w:val="16112594"/>
    <w:rsid w:val="164754BB"/>
    <w:rsid w:val="164976AB"/>
    <w:rsid w:val="169528F0"/>
    <w:rsid w:val="17084967"/>
    <w:rsid w:val="172F68A1"/>
    <w:rsid w:val="179B7A92"/>
    <w:rsid w:val="17C33B67"/>
    <w:rsid w:val="17D02A3C"/>
    <w:rsid w:val="180715CC"/>
    <w:rsid w:val="181636EA"/>
    <w:rsid w:val="18D019BE"/>
    <w:rsid w:val="18F2022C"/>
    <w:rsid w:val="1919252A"/>
    <w:rsid w:val="192835A8"/>
    <w:rsid w:val="19600F94"/>
    <w:rsid w:val="199E0CF5"/>
    <w:rsid w:val="19C57049"/>
    <w:rsid w:val="19CE68CB"/>
    <w:rsid w:val="1A424B3D"/>
    <w:rsid w:val="1A4C39D0"/>
    <w:rsid w:val="1A584897"/>
    <w:rsid w:val="1A7647F9"/>
    <w:rsid w:val="1AB71087"/>
    <w:rsid w:val="1AB92102"/>
    <w:rsid w:val="1ABB7E4F"/>
    <w:rsid w:val="1AD95C98"/>
    <w:rsid w:val="1AEA60D7"/>
    <w:rsid w:val="1AF16B99"/>
    <w:rsid w:val="1B01367A"/>
    <w:rsid w:val="1B020286"/>
    <w:rsid w:val="1B0F1B05"/>
    <w:rsid w:val="1B972C67"/>
    <w:rsid w:val="1CCB008A"/>
    <w:rsid w:val="1D4B2EDC"/>
    <w:rsid w:val="1D4C68B7"/>
    <w:rsid w:val="1D77050D"/>
    <w:rsid w:val="1D7B2840"/>
    <w:rsid w:val="1E37428D"/>
    <w:rsid w:val="1E5F5CBE"/>
    <w:rsid w:val="1EFF1226"/>
    <w:rsid w:val="1F6C7C66"/>
    <w:rsid w:val="1F9A4AD4"/>
    <w:rsid w:val="209A4AF7"/>
    <w:rsid w:val="20C349D6"/>
    <w:rsid w:val="20CC5161"/>
    <w:rsid w:val="219950FA"/>
    <w:rsid w:val="21A8172A"/>
    <w:rsid w:val="21E007CD"/>
    <w:rsid w:val="22421B7E"/>
    <w:rsid w:val="23063834"/>
    <w:rsid w:val="23134281"/>
    <w:rsid w:val="234877F4"/>
    <w:rsid w:val="23502079"/>
    <w:rsid w:val="23517398"/>
    <w:rsid w:val="246F4781"/>
    <w:rsid w:val="24942613"/>
    <w:rsid w:val="24E32A79"/>
    <w:rsid w:val="24F464EF"/>
    <w:rsid w:val="252C5A0A"/>
    <w:rsid w:val="253D7EE1"/>
    <w:rsid w:val="258E4CB0"/>
    <w:rsid w:val="25CC4407"/>
    <w:rsid w:val="25E350BF"/>
    <w:rsid w:val="26105AEF"/>
    <w:rsid w:val="261F21D6"/>
    <w:rsid w:val="262A1F5E"/>
    <w:rsid w:val="263C4B36"/>
    <w:rsid w:val="26AF5641"/>
    <w:rsid w:val="26B80661"/>
    <w:rsid w:val="27BE6431"/>
    <w:rsid w:val="27FF488F"/>
    <w:rsid w:val="282B5DFF"/>
    <w:rsid w:val="28A075FF"/>
    <w:rsid w:val="2940493E"/>
    <w:rsid w:val="299B1B74"/>
    <w:rsid w:val="29D60DFE"/>
    <w:rsid w:val="2A4A0BDD"/>
    <w:rsid w:val="2ACC7F80"/>
    <w:rsid w:val="2AD851C8"/>
    <w:rsid w:val="2AF239C2"/>
    <w:rsid w:val="2B5D3893"/>
    <w:rsid w:val="2B7B3A0B"/>
    <w:rsid w:val="2C1E4B38"/>
    <w:rsid w:val="2CE601C6"/>
    <w:rsid w:val="2D102879"/>
    <w:rsid w:val="2D3622DF"/>
    <w:rsid w:val="2D79041E"/>
    <w:rsid w:val="2DC34355"/>
    <w:rsid w:val="2E5E6CD1"/>
    <w:rsid w:val="2E64435C"/>
    <w:rsid w:val="2ECA78D8"/>
    <w:rsid w:val="2EF30D76"/>
    <w:rsid w:val="2F854104"/>
    <w:rsid w:val="2FD47FC3"/>
    <w:rsid w:val="301160E9"/>
    <w:rsid w:val="308775A9"/>
    <w:rsid w:val="30977539"/>
    <w:rsid w:val="30F737EC"/>
    <w:rsid w:val="31A22DC4"/>
    <w:rsid w:val="31F93466"/>
    <w:rsid w:val="32E072F9"/>
    <w:rsid w:val="3328091C"/>
    <w:rsid w:val="33664FA1"/>
    <w:rsid w:val="33D26A40"/>
    <w:rsid w:val="33F36530"/>
    <w:rsid w:val="340D48B1"/>
    <w:rsid w:val="34337579"/>
    <w:rsid w:val="349873DC"/>
    <w:rsid w:val="34C142A9"/>
    <w:rsid w:val="358F4C83"/>
    <w:rsid w:val="35EA3FD4"/>
    <w:rsid w:val="36E3334C"/>
    <w:rsid w:val="36E403A7"/>
    <w:rsid w:val="37425D25"/>
    <w:rsid w:val="37537F32"/>
    <w:rsid w:val="378D6FA0"/>
    <w:rsid w:val="381E6A31"/>
    <w:rsid w:val="38481119"/>
    <w:rsid w:val="384D4A13"/>
    <w:rsid w:val="38D86941"/>
    <w:rsid w:val="38E42B12"/>
    <w:rsid w:val="38E82922"/>
    <w:rsid w:val="392456E2"/>
    <w:rsid w:val="3988452E"/>
    <w:rsid w:val="39C75753"/>
    <w:rsid w:val="3A1070B6"/>
    <w:rsid w:val="3A2636DC"/>
    <w:rsid w:val="3A3608D7"/>
    <w:rsid w:val="3B2A71FC"/>
    <w:rsid w:val="3B332367"/>
    <w:rsid w:val="3BAB439B"/>
    <w:rsid w:val="3BB93608"/>
    <w:rsid w:val="3BC97DA1"/>
    <w:rsid w:val="3C7644C1"/>
    <w:rsid w:val="3DFC7F3E"/>
    <w:rsid w:val="3E4B1F95"/>
    <w:rsid w:val="3EC8540A"/>
    <w:rsid w:val="3ED25BE0"/>
    <w:rsid w:val="3EEF12A7"/>
    <w:rsid w:val="3EF312E5"/>
    <w:rsid w:val="3F2F668F"/>
    <w:rsid w:val="3F8A0812"/>
    <w:rsid w:val="3FC419CD"/>
    <w:rsid w:val="3FF57DD8"/>
    <w:rsid w:val="400811F4"/>
    <w:rsid w:val="40614AB3"/>
    <w:rsid w:val="40DA135B"/>
    <w:rsid w:val="410C2038"/>
    <w:rsid w:val="41760AA5"/>
    <w:rsid w:val="41F11E71"/>
    <w:rsid w:val="422B6F30"/>
    <w:rsid w:val="433879CB"/>
    <w:rsid w:val="436F7EA2"/>
    <w:rsid w:val="43DE35A4"/>
    <w:rsid w:val="440D3006"/>
    <w:rsid w:val="44255037"/>
    <w:rsid w:val="4448564C"/>
    <w:rsid w:val="44633C82"/>
    <w:rsid w:val="44637D2A"/>
    <w:rsid w:val="448A1B65"/>
    <w:rsid w:val="44A45929"/>
    <w:rsid w:val="44F731ED"/>
    <w:rsid w:val="45D15E05"/>
    <w:rsid w:val="464F7B16"/>
    <w:rsid w:val="46666281"/>
    <w:rsid w:val="46775140"/>
    <w:rsid w:val="4698770F"/>
    <w:rsid w:val="47107BA1"/>
    <w:rsid w:val="473D31C9"/>
    <w:rsid w:val="4760647F"/>
    <w:rsid w:val="47606E35"/>
    <w:rsid w:val="47B2035D"/>
    <w:rsid w:val="47E76AC0"/>
    <w:rsid w:val="489410B3"/>
    <w:rsid w:val="489F2FD7"/>
    <w:rsid w:val="48EE5567"/>
    <w:rsid w:val="49014868"/>
    <w:rsid w:val="492F1870"/>
    <w:rsid w:val="493D2FF4"/>
    <w:rsid w:val="4AA448D5"/>
    <w:rsid w:val="4B2F116F"/>
    <w:rsid w:val="4BDA4326"/>
    <w:rsid w:val="4C121D12"/>
    <w:rsid w:val="4C1415E6"/>
    <w:rsid w:val="4C2031E5"/>
    <w:rsid w:val="4C4A3215"/>
    <w:rsid w:val="4C5916EF"/>
    <w:rsid w:val="4CDE2820"/>
    <w:rsid w:val="4CEE62DB"/>
    <w:rsid w:val="4D611C24"/>
    <w:rsid w:val="4D704586"/>
    <w:rsid w:val="4D8E361A"/>
    <w:rsid w:val="4D91237B"/>
    <w:rsid w:val="4D944C00"/>
    <w:rsid w:val="4D9A1FBF"/>
    <w:rsid w:val="4DFC3601"/>
    <w:rsid w:val="4E13195F"/>
    <w:rsid w:val="4EB96475"/>
    <w:rsid w:val="4EFE6554"/>
    <w:rsid w:val="4F585C8E"/>
    <w:rsid w:val="4F5F701C"/>
    <w:rsid w:val="4F6E3703"/>
    <w:rsid w:val="4FAB2261"/>
    <w:rsid w:val="4FBA63DC"/>
    <w:rsid w:val="503D1B15"/>
    <w:rsid w:val="505908A9"/>
    <w:rsid w:val="505E66EE"/>
    <w:rsid w:val="50720FF1"/>
    <w:rsid w:val="509251CF"/>
    <w:rsid w:val="50A51ECD"/>
    <w:rsid w:val="513F4816"/>
    <w:rsid w:val="51402E7D"/>
    <w:rsid w:val="5184796C"/>
    <w:rsid w:val="51B87F91"/>
    <w:rsid w:val="51BA1685"/>
    <w:rsid w:val="523F4EE3"/>
    <w:rsid w:val="52500E9E"/>
    <w:rsid w:val="525928CE"/>
    <w:rsid w:val="527C7EE5"/>
    <w:rsid w:val="5358625C"/>
    <w:rsid w:val="539D0113"/>
    <w:rsid w:val="53DD0E57"/>
    <w:rsid w:val="53E22A1B"/>
    <w:rsid w:val="54264F8A"/>
    <w:rsid w:val="552705DC"/>
    <w:rsid w:val="55271A1B"/>
    <w:rsid w:val="55774994"/>
    <w:rsid w:val="55917555"/>
    <w:rsid w:val="559F1AE0"/>
    <w:rsid w:val="55B8277C"/>
    <w:rsid w:val="55DA0CAE"/>
    <w:rsid w:val="55DC5B1B"/>
    <w:rsid w:val="565563E3"/>
    <w:rsid w:val="56603DBE"/>
    <w:rsid w:val="56961CF3"/>
    <w:rsid w:val="56E04EE6"/>
    <w:rsid w:val="56EB73E7"/>
    <w:rsid w:val="575B631B"/>
    <w:rsid w:val="590F1AB3"/>
    <w:rsid w:val="598620F0"/>
    <w:rsid w:val="5A1D25C0"/>
    <w:rsid w:val="5A542584"/>
    <w:rsid w:val="5A9D6C4B"/>
    <w:rsid w:val="5AD37B0D"/>
    <w:rsid w:val="5B0C52BA"/>
    <w:rsid w:val="5BC66740"/>
    <w:rsid w:val="5C1271C4"/>
    <w:rsid w:val="5C182A2D"/>
    <w:rsid w:val="5C6E749F"/>
    <w:rsid w:val="5C6E7668"/>
    <w:rsid w:val="5CA22C3E"/>
    <w:rsid w:val="5D631497"/>
    <w:rsid w:val="5DC82230"/>
    <w:rsid w:val="5DFEDB0D"/>
    <w:rsid w:val="5EAE7BA5"/>
    <w:rsid w:val="5EF65AC8"/>
    <w:rsid w:val="5F7C685A"/>
    <w:rsid w:val="5FC72CDC"/>
    <w:rsid w:val="5FD8317A"/>
    <w:rsid w:val="5FF437B1"/>
    <w:rsid w:val="6015476B"/>
    <w:rsid w:val="6059624B"/>
    <w:rsid w:val="60E90E3C"/>
    <w:rsid w:val="60FA7576"/>
    <w:rsid w:val="61D77B02"/>
    <w:rsid w:val="61E433B1"/>
    <w:rsid w:val="62587AD1"/>
    <w:rsid w:val="62CA25A7"/>
    <w:rsid w:val="639808F7"/>
    <w:rsid w:val="63C36BC6"/>
    <w:rsid w:val="63F37970"/>
    <w:rsid w:val="646350BD"/>
    <w:rsid w:val="64EE37C0"/>
    <w:rsid w:val="656A43ED"/>
    <w:rsid w:val="65A13063"/>
    <w:rsid w:val="66C93397"/>
    <w:rsid w:val="66E457F8"/>
    <w:rsid w:val="6764746E"/>
    <w:rsid w:val="677A1F55"/>
    <w:rsid w:val="67A24913"/>
    <w:rsid w:val="67C53A4E"/>
    <w:rsid w:val="67FD0EC2"/>
    <w:rsid w:val="67FF7197"/>
    <w:rsid w:val="681D26C3"/>
    <w:rsid w:val="68617509"/>
    <w:rsid w:val="68632230"/>
    <w:rsid w:val="687436E1"/>
    <w:rsid w:val="68972652"/>
    <w:rsid w:val="68B56619"/>
    <w:rsid w:val="68CA77A4"/>
    <w:rsid w:val="68CA7F52"/>
    <w:rsid w:val="695A725D"/>
    <w:rsid w:val="695E040B"/>
    <w:rsid w:val="69B61AD7"/>
    <w:rsid w:val="69DC778F"/>
    <w:rsid w:val="6A2A579F"/>
    <w:rsid w:val="6A303637"/>
    <w:rsid w:val="6AB70CEC"/>
    <w:rsid w:val="6B8C2AEF"/>
    <w:rsid w:val="6BCD0D3D"/>
    <w:rsid w:val="6BE11420"/>
    <w:rsid w:val="6C127FE9"/>
    <w:rsid w:val="6C7D37EC"/>
    <w:rsid w:val="6CBD7E10"/>
    <w:rsid w:val="6CDB1F80"/>
    <w:rsid w:val="6D046C63"/>
    <w:rsid w:val="6D5F5142"/>
    <w:rsid w:val="6EA107BC"/>
    <w:rsid w:val="6EA943EC"/>
    <w:rsid w:val="6EDA0E23"/>
    <w:rsid w:val="6F060E0B"/>
    <w:rsid w:val="70023EE6"/>
    <w:rsid w:val="7021569E"/>
    <w:rsid w:val="70787AE6"/>
    <w:rsid w:val="707F2C23"/>
    <w:rsid w:val="70B1173D"/>
    <w:rsid w:val="70F80D1C"/>
    <w:rsid w:val="713234A3"/>
    <w:rsid w:val="713D0499"/>
    <w:rsid w:val="714B3344"/>
    <w:rsid w:val="7182279C"/>
    <w:rsid w:val="7221555A"/>
    <w:rsid w:val="72977E55"/>
    <w:rsid w:val="73216213"/>
    <w:rsid w:val="73304E35"/>
    <w:rsid w:val="73FE41A4"/>
    <w:rsid w:val="74330772"/>
    <w:rsid w:val="75092222"/>
    <w:rsid w:val="75B4336E"/>
    <w:rsid w:val="76885ACB"/>
    <w:rsid w:val="76AA77C2"/>
    <w:rsid w:val="76D37824"/>
    <w:rsid w:val="76DA4AEE"/>
    <w:rsid w:val="77AE68F4"/>
    <w:rsid w:val="77BD2282"/>
    <w:rsid w:val="77C6382D"/>
    <w:rsid w:val="78370F00"/>
    <w:rsid w:val="78414C61"/>
    <w:rsid w:val="78CE0BEB"/>
    <w:rsid w:val="7942749E"/>
    <w:rsid w:val="79557312"/>
    <w:rsid w:val="79FC3536"/>
    <w:rsid w:val="7A220D15"/>
    <w:rsid w:val="7BBA0FB3"/>
    <w:rsid w:val="7BFD03F8"/>
    <w:rsid w:val="7C762926"/>
    <w:rsid w:val="7CB974BC"/>
    <w:rsid w:val="7CE02C9B"/>
    <w:rsid w:val="7CEE683C"/>
    <w:rsid w:val="7D3A3311"/>
    <w:rsid w:val="7D9D36B6"/>
    <w:rsid w:val="7DA168CE"/>
    <w:rsid w:val="7DB3215D"/>
    <w:rsid w:val="7E1569BE"/>
    <w:rsid w:val="7E336C1F"/>
    <w:rsid w:val="7E6823A4"/>
    <w:rsid w:val="7E80441D"/>
    <w:rsid w:val="7E834226"/>
    <w:rsid w:val="7EBE700C"/>
    <w:rsid w:val="7F0508AA"/>
    <w:rsid w:val="7F1430D0"/>
    <w:rsid w:val="7F544760"/>
    <w:rsid w:val="7FD020B9"/>
    <w:rsid w:val="7FF60A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next w:val="4"/>
    <w:qFormat/>
    <w:uiPriority w:val="0"/>
    <w:pPr>
      <w:ind w:left="200" w:leftChars="200" w:firstLine="200" w:firstLineChars="200"/>
    </w:pPr>
  </w:style>
  <w:style w:type="paragraph" w:customStyle="1" w:styleId="3">
    <w:name w:val="正文文本缩进1"/>
    <w:basedOn w:val="1"/>
    <w:qFormat/>
    <w:uiPriority w:val="0"/>
    <w:pPr>
      <w:ind w:left="200" w:leftChars="200"/>
    </w:pPr>
  </w:style>
  <w:style w:type="paragraph" w:styleId="4">
    <w:name w:val="Normal (Web)"/>
    <w:basedOn w:val="1"/>
    <w:next w:val="1"/>
    <w:qFormat/>
    <w:uiPriority w:val="99"/>
    <w:pPr>
      <w:spacing w:before="0" w:beforeAutospacing="1" w:after="0" w:afterAutospacing="1"/>
      <w:ind w:left="0" w:right="0"/>
      <w:jc w:val="left"/>
    </w:pPr>
    <w:rPr>
      <w:kern w:val="0"/>
      <w:sz w:val="24"/>
      <w:lang w:val="en-US" w:eastAsia="zh-CN" w:bidi="ar"/>
    </w:rPr>
  </w:style>
  <w:style w:type="paragraph" w:styleId="5">
    <w:name w:val="Normal Indent"/>
    <w:basedOn w:val="1"/>
    <w:qFormat/>
    <w:uiPriority w:val="0"/>
    <w:pPr>
      <w:ind w:firstLine="420" w:firstLineChars="200"/>
    </w:pPr>
    <w:rPr>
      <w:rFonts w:ascii="Calibri" w:hAnsi="Calibri" w:eastAsia="仿宋"/>
      <w:sz w:val="32"/>
    </w:rPr>
  </w:style>
  <w:style w:type="paragraph" w:styleId="6">
    <w:name w:val="Body Text Indent"/>
    <w:basedOn w:val="1"/>
    <w:next w:val="5"/>
    <w:qFormat/>
    <w:uiPriority w:val="0"/>
    <w:pPr>
      <w:spacing w:after="120"/>
      <w:ind w:left="420" w:leftChars="200"/>
    </w:pPr>
    <w:rPr>
      <w:rFonts w:ascii="Calibri" w:hAnsi="Calibri" w:eastAsia="宋体"/>
    </w:rPr>
  </w:style>
  <w:style w:type="paragraph" w:styleId="7">
    <w:name w:val="Date"/>
    <w:basedOn w:val="1"/>
    <w:next w:val="1"/>
    <w:link w:val="23"/>
    <w:qFormat/>
    <w:uiPriority w:val="0"/>
    <w:pPr>
      <w:ind w:left="100" w:leftChars="2500"/>
    </w:pPr>
  </w:style>
  <w:style w:type="paragraph" w:styleId="8">
    <w:name w:val="Balloon Text"/>
    <w:basedOn w:val="1"/>
    <w:link w:val="20"/>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2"/>
    <w:basedOn w:val="1"/>
    <w:qFormat/>
    <w:uiPriority w:val="0"/>
    <w:pPr>
      <w:spacing w:after="120" w:afterLines="0" w:afterAutospacing="0" w:line="480" w:lineRule="auto"/>
    </w:pPr>
  </w:style>
  <w:style w:type="paragraph" w:styleId="12">
    <w:name w:val="HTML Preformatted"/>
    <w:basedOn w:val="1"/>
    <w:link w:val="2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3">
    <w:name w:val="Body Text First Indent 2"/>
    <w:basedOn w:val="6"/>
    <w:qFormat/>
    <w:uiPriority w:val="0"/>
    <w:pPr>
      <w:spacing w:after="0"/>
      <w:ind w:firstLine="420" w:firstLineChars="200"/>
    </w:pPr>
  </w:style>
  <w:style w:type="table" w:styleId="15">
    <w:name w:val="Table Grid"/>
    <w:basedOn w:val="14"/>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u w:val="single"/>
    </w:rPr>
  </w:style>
  <w:style w:type="paragraph" w:customStyle="1" w:styleId="18">
    <w:name w:val="p0"/>
    <w:basedOn w:val="1"/>
    <w:qFormat/>
    <w:uiPriority w:val="0"/>
    <w:pPr>
      <w:widowControl/>
    </w:pPr>
    <w:rPr>
      <w:kern w:val="0"/>
      <w:szCs w:val="21"/>
    </w:rPr>
  </w:style>
  <w:style w:type="paragraph" w:customStyle="1" w:styleId="19">
    <w:name w:val="列出段落1"/>
    <w:basedOn w:val="1"/>
    <w:qFormat/>
    <w:uiPriority w:val="34"/>
    <w:pPr>
      <w:widowControl/>
      <w:spacing w:after="200" w:line="276" w:lineRule="auto"/>
      <w:ind w:firstLine="420" w:firstLineChars="200"/>
      <w:jc w:val="left"/>
    </w:pPr>
    <w:rPr>
      <w:rFonts w:ascii="Calibri" w:hAnsi="Calibri" w:cs="Calibri"/>
      <w:kern w:val="0"/>
      <w:sz w:val="22"/>
      <w:szCs w:val="22"/>
      <w:lang w:eastAsia="en-US" w:bidi="en-US"/>
    </w:rPr>
  </w:style>
  <w:style w:type="character" w:customStyle="1" w:styleId="20">
    <w:name w:val="批注框文本 Char Char"/>
    <w:link w:val="8"/>
    <w:qFormat/>
    <w:uiPriority w:val="0"/>
    <w:rPr>
      <w:kern w:val="2"/>
      <w:sz w:val="18"/>
      <w:szCs w:val="18"/>
    </w:rPr>
  </w:style>
  <w:style w:type="character" w:customStyle="1" w:styleId="21">
    <w:name w:val="apple-converted-space"/>
    <w:qFormat/>
    <w:uiPriority w:val="0"/>
  </w:style>
  <w:style w:type="character" w:customStyle="1" w:styleId="22">
    <w:name w:val="HTML 预设格式 Char Char"/>
    <w:link w:val="12"/>
    <w:qFormat/>
    <w:uiPriority w:val="99"/>
    <w:rPr>
      <w:rFonts w:ascii="宋体" w:hAnsi="宋体" w:cs="宋体"/>
      <w:sz w:val="24"/>
      <w:szCs w:val="24"/>
    </w:rPr>
  </w:style>
  <w:style w:type="character" w:customStyle="1" w:styleId="23">
    <w:name w:val="日期 Char Char"/>
    <w:link w:val="7"/>
    <w:qFormat/>
    <w:uiPriority w:val="0"/>
    <w:rPr>
      <w:kern w:val="2"/>
      <w:sz w:val="21"/>
      <w:szCs w:val="24"/>
    </w:rPr>
  </w:style>
  <w:style w:type="paragraph" w:customStyle="1" w:styleId="24">
    <w:name w:val="UserStyle_1"/>
    <w:basedOn w:val="1"/>
    <w:qFormat/>
    <w:uiPriority w:val="0"/>
    <w:pPr>
      <w:widowControl/>
      <w:spacing w:before="100" w:beforeLines="0" w:beforeAutospacing="1" w:after="100" w:afterLines="0" w:afterAutospacing="1"/>
      <w:jc w:val="left"/>
    </w:pPr>
    <w:rPr>
      <w:rFonts w:ascii="宋体" w:hAnsi="宋体" w:eastAsia="宋体" w:cs="Times New Roman"/>
      <w:kern w:val="0"/>
      <w:sz w:val="24"/>
      <w:szCs w:val="24"/>
    </w:rPr>
  </w:style>
  <w:style w:type="character" w:customStyle="1" w:styleId="25">
    <w:name w:val="16"/>
    <w:basedOn w:val="16"/>
    <w:qFormat/>
    <w:uiPriority w:val="0"/>
    <w:rPr>
      <w:rFonts w:hint="default" w:ascii="Times New Roman" w:hAnsi="Times New Roman" w:cs="Times New Roman"/>
    </w:rPr>
  </w:style>
  <w:style w:type="paragraph" w:customStyle="1" w:styleId="26">
    <w:name w:val="Body text|1"/>
    <w:basedOn w:val="1"/>
    <w:qFormat/>
    <w:uiPriority w:val="0"/>
    <w:pPr>
      <w:widowControl w:val="0"/>
      <w:shd w:val="clear" w:color="auto" w:fill="auto"/>
      <w:spacing w:line="418" w:lineRule="auto"/>
      <w:ind w:firstLine="400"/>
    </w:pPr>
    <w:rPr>
      <w:rFonts w:ascii="宋体" w:hAnsi="宋体" w:eastAsia="宋体" w:cs="宋体"/>
      <w:sz w:val="30"/>
      <w:szCs w:val="30"/>
      <w:u w:val="none"/>
      <w:shd w:val="clear" w:color="auto" w:fill="auto"/>
      <w:lang w:val="zh-TW" w:eastAsia="zh-TW" w:bidi="zh-TW"/>
    </w:rPr>
  </w:style>
  <w:style w:type="paragraph" w:customStyle="1" w:styleId="27">
    <w:name w:val="Picture caption|1"/>
    <w:basedOn w:val="1"/>
    <w:qFormat/>
    <w:uiPriority w:val="0"/>
    <w:pPr>
      <w:widowControl w:val="0"/>
      <w:shd w:val="clear" w:color="auto" w:fill="auto"/>
      <w:ind w:left="-10"/>
    </w:pPr>
    <w:rPr>
      <w:rFonts w:ascii="宋体" w:hAnsi="宋体" w:eastAsia="宋体" w:cs="宋体"/>
      <w:sz w:val="30"/>
      <w:szCs w:val="30"/>
      <w:u w:val="none"/>
      <w:shd w:val="clear" w:color="auto" w:fill="auto"/>
      <w:lang w:val="zh-TW" w:eastAsia="zh-TW" w:bidi="zh-TW"/>
    </w:rPr>
  </w:style>
  <w:style w:type="paragraph" w:customStyle="1" w:styleId="28">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29">
    <w:name w:val="Heading #2|1"/>
    <w:basedOn w:val="1"/>
    <w:qFormat/>
    <w:uiPriority w:val="0"/>
    <w:pPr>
      <w:widowControl w:val="0"/>
      <w:shd w:val="clear" w:color="auto" w:fill="auto"/>
      <w:spacing w:after="480" w:line="502" w:lineRule="exact"/>
      <w:jc w:val="center"/>
      <w:outlineLvl w:val="1"/>
    </w:pPr>
    <w:rPr>
      <w:rFonts w:ascii="宋体" w:hAnsi="宋体" w:eastAsia="宋体" w:cs="宋体"/>
      <w:sz w:val="42"/>
      <w:szCs w:val="42"/>
      <w:u w:val="none"/>
      <w:shd w:val="clear" w:color="auto" w:fill="auto"/>
      <w:lang w:val="zh-TW" w:eastAsia="zh-TW" w:bidi="zh-TW"/>
    </w:rPr>
  </w:style>
  <w:style w:type="paragraph" w:styleId="30">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1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5389</Words>
  <Characters>5509</Characters>
  <Lines>21</Lines>
  <Paragraphs>6</Paragraphs>
  <TotalTime>78</TotalTime>
  <ScaleCrop>false</ScaleCrop>
  <LinksUpToDate>false</LinksUpToDate>
  <CharactersWithSpaces>5556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cp:lastPrinted>2022-05-20T03:51:00Z</cp:lastPrinted>
  <dcterms:modified xsi:type="dcterms:W3CDTF">2022-09-20T09:28:28Z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BB952BAB98FC48488D96D39E86182523</vt:lpwstr>
  </property>
</Properties>
</file>