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59AB5">
      <w:pPr>
        <w:jc w:val="center"/>
        <w:rPr>
          <w:rFonts w:hint="eastAsia" w:ascii="方正小标宋简体" w:hAnsi="方正小标宋简体" w:eastAsia="方正小标宋简体" w:cs="方正小标宋简体"/>
          <w:b/>
          <w:bCs w:val="0"/>
          <w:sz w:val="44"/>
          <w:szCs w:val="44"/>
        </w:rPr>
      </w:pPr>
    </w:p>
    <w:p w14:paraId="1D44ACCE">
      <w:pPr>
        <w:jc w:val="center"/>
        <w:rPr>
          <w:rFonts w:hint="eastAsia" w:ascii="宋体" w:hAnsi="宋体" w:eastAsia="宋体" w:cs="宋体"/>
          <w:b/>
          <w:bCs w:val="0"/>
          <w:sz w:val="36"/>
          <w:szCs w:val="36"/>
        </w:rPr>
      </w:pPr>
      <w:bookmarkStart w:id="0" w:name="_GoBack"/>
      <w:r>
        <w:rPr>
          <w:rFonts w:hint="eastAsia" w:ascii="方正小标宋简体" w:hAnsi="方正小标宋简体" w:eastAsia="方正小标宋简体" w:cs="方正小标宋简体"/>
          <w:b/>
          <w:bCs w:val="0"/>
          <w:sz w:val="44"/>
          <w:szCs w:val="44"/>
        </w:rPr>
        <w:t>固定资产管理制度</w:t>
      </w:r>
    </w:p>
    <w:p w14:paraId="098946FE">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p>
    <w:p w14:paraId="4F8CF88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sz w:val="32"/>
          <w:szCs w:val="32"/>
        </w:rPr>
        <w:t>第一条</w:t>
      </w:r>
      <w:r>
        <w:rPr>
          <w:rFonts w:hint="eastAsia" w:ascii="仿宋" w:hAnsi="仿宋" w:eastAsia="仿宋" w:cs="仿宋"/>
          <w:sz w:val="32"/>
          <w:szCs w:val="32"/>
        </w:rPr>
        <w:t xml:space="preserve"> 为了加强</w:t>
      </w:r>
      <w:r>
        <w:rPr>
          <w:rFonts w:hint="eastAsia" w:ascii="仿宋" w:hAnsi="仿宋" w:eastAsia="仿宋" w:cs="仿宋"/>
          <w:sz w:val="32"/>
          <w:szCs w:val="32"/>
          <w:lang w:eastAsia="zh-CN"/>
        </w:rPr>
        <w:t>中心</w:t>
      </w:r>
      <w:r>
        <w:rPr>
          <w:rFonts w:hint="eastAsia" w:ascii="仿宋" w:hAnsi="仿宋" w:eastAsia="仿宋" w:cs="仿宋"/>
          <w:sz w:val="32"/>
          <w:szCs w:val="32"/>
        </w:rPr>
        <w:t>固定资产管理，保障固定资产的安全完整，提高固定资产的使用效率，特制定本制度。</w:t>
      </w:r>
    </w:p>
    <w:p w14:paraId="5A325A6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lang w:eastAsia="zh-CN"/>
        </w:rPr>
        <w:t>第二类</w:t>
      </w:r>
      <w:r>
        <w:rPr>
          <w:rFonts w:hint="eastAsia" w:ascii="仿宋" w:hAnsi="仿宋" w:eastAsia="仿宋" w:cs="仿宋"/>
          <w:b/>
          <w:sz w:val="32"/>
          <w:szCs w:val="32"/>
          <w:lang w:val="en-US" w:eastAsia="zh-CN"/>
        </w:rPr>
        <w:t xml:space="preserve"> </w:t>
      </w:r>
      <w:r>
        <w:rPr>
          <w:rFonts w:hint="eastAsia" w:ascii="仿宋" w:hAnsi="仿宋" w:eastAsia="仿宋" w:cs="仿宋"/>
          <w:b/>
          <w:sz w:val="32"/>
          <w:szCs w:val="32"/>
        </w:rPr>
        <w:t>固定资产</w:t>
      </w:r>
      <w:r>
        <w:rPr>
          <w:rFonts w:hint="eastAsia" w:ascii="仿宋" w:hAnsi="仿宋" w:eastAsia="仿宋" w:cs="仿宋"/>
          <w:b/>
          <w:sz w:val="32"/>
          <w:szCs w:val="32"/>
          <w:lang w:eastAsia="zh-CN"/>
        </w:rPr>
        <w:t>分为</w:t>
      </w:r>
      <w:r>
        <w:rPr>
          <w:rFonts w:hint="eastAsia" w:ascii="仿宋" w:hAnsi="仿宋" w:eastAsia="仿宋" w:cs="仿宋"/>
          <w:b/>
          <w:sz w:val="32"/>
          <w:szCs w:val="32"/>
        </w:rPr>
        <w:t>三大类</w:t>
      </w:r>
    </w:p>
    <w:p w14:paraId="649C417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1.电子设备</w:t>
      </w:r>
    </w:p>
    <w:p w14:paraId="7667D6B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包括打印机、电话、主机、显示器、会议屏、移动硬盘、摄像头、复印机、保险柜、笔记本电脑等相关办公设备。</w:t>
      </w:r>
    </w:p>
    <w:p w14:paraId="1FD5239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2.办公家具</w:t>
      </w:r>
    </w:p>
    <w:p w14:paraId="35C47F0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包括沙发、桌椅、书柜、文件柜、热水器、茶台等。</w:t>
      </w:r>
    </w:p>
    <w:p w14:paraId="04A2EEE4">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 w:hAnsi="仿宋" w:eastAsia="仿宋" w:cs="仿宋"/>
          <w:b/>
          <w:sz w:val="32"/>
          <w:szCs w:val="32"/>
        </w:rPr>
      </w:pPr>
      <w:r>
        <w:rPr>
          <w:rFonts w:hint="eastAsia" w:ascii="仿宋" w:hAnsi="仿宋" w:eastAsia="仿宋" w:cs="仿宋"/>
          <w:b/>
          <w:sz w:val="32"/>
          <w:szCs w:val="32"/>
          <w:lang w:eastAsia="zh-CN"/>
        </w:rPr>
        <w:t>第三条</w:t>
      </w:r>
      <w:r>
        <w:rPr>
          <w:rFonts w:hint="eastAsia" w:ascii="仿宋" w:hAnsi="仿宋" w:eastAsia="仿宋" w:cs="仿宋"/>
          <w:b/>
          <w:sz w:val="32"/>
          <w:szCs w:val="32"/>
          <w:lang w:val="en-US" w:eastAsia="zh-CN"/>
        </w:rPr>
        <w:t xml:space="preserve"> </w:t>
      </w:r>
      <w:r>
        <w:rPr>
          <w:rFonts w:hint="eastAsia" w:ascii="仿宋" w:hAnsi="仿宋" w:eastAsia="仿宋" w:cs="仿宋"/>
          <w:b/>
          <w:sz w:val="32"/>
          <w:szCs w:val="32"/>
        </w:rPr>
        <w:t>固定资产的购置</w:t>
      </w:r>
    </w:p>
    <w:p w14:paraId="182545B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eastAsia="zh-CN"/>
        </w:rPr>
        <w:t>先按照机关事务管理服务中心规定对照固定资产人员配置要求规定进行审核。</w:t>
      </w:r>
    </w:p>
    <w:p w14:paraId="333C7F4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.固定资产使用部门填写《固定资产购置申请单》时，应详细填写固定资产名称、规格、型号、预算金额、购置原因等；</w:t>
      </w:r>
    </w:p>
    <w:p w14:paraId="1F1114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.公司固定资产购置申请单务必由</w:t>
      </w:r>
      <w:r>
        <w:rPr>
          <w:rFonts w:hint="eastAsia" w:ascii="仿宋" w:hAnsi="仿宋" w:eastAsia="仿宋" w:cs="仿宋"/>
          <w:sz w:val="32"/>
          <w:szCs w:val="32"/>
          <w:lang w:eastAsia="zh-CN"/>
        </w:rPr>
        <w:t>中心领导班子开会通过</w:t>
      </w:r>
      <w:r>
        <w:rPr>
          <w:rFonts w:hint="eastAsia" w:ascii="仿宋" w:hAnsi="仿宋" w:eastAsia="仿宋" w:cs="仿宋"/>
          <w:sz w:val="32"/>
          <w:szCs w:val="32"/>
        </w:rPr>
        <w:t>审批后，</w:t>
      </w:r>
      <w:r>
        <w:rPr>
          <w:rFonts w:hint="eastAsia" w:ascii="仿宋" w:hAnsi="仿宋" w:eastAsia="仿宋" w:cs="仿宋"/>
          <w:sz w:val="32"/>
          <w:szCs w:val="32"/>
          <w:lang w:eastAsia="zh-CN"/>
        </w:rPr>
        <w:t>由采购专员</w:t>
      </w:r>
      <w:r>
        <w:rPr>
          <w:rFonts w:hint="eastAsia" w:ascii="仿宋" w:hAnsi="仿宋" w:eastAsia="仿宋" w:cs="仿宋"/>
          <w:sz w:val="32"/>
          <w:szCs w:val="32"/>
        </w:rPr>
        <w:t>可执行购置；</w:t>
      </w:r>
    </w:p>
    <w:p w14:paraId="0D639A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eastAsia="zh-CN"/>
        </w:rPr>
        <w:t>采购</w:t>
      </w:r>
      <w:r>
        <w:rPr>
          <w:rFonts w:hint="eastAsia" w:ascii="仿宋" w:hAnsi="仿宋" w:eastAsia="仿宋" w:cs="仿宋"/>
          <w:sz w:val="32"/>
          <w:szCs w:val="32"/>
        </w:rPr>
        <w:t>必须进行充分的市场调研，</w:t>
      </w:r>
      <w:r>
        <w:rPr>
          <w:rFonts w:hint="eastAsia" w:ascii="仿宋" w:hAnsi="仿宋" w:eastAsia="仿宋" w:cs="仿宋"/>
          <w:sz w:val="32"/>
          <w:szCs w:val="32"/>
          <w:lang w:eastAsia="zh-CN"/>
        </w:rPr>
        <w:t>按照采购程序进行公开采购</w:t>
      </w:r>
      <w:r>
        <w:rPr>
          <w:rFonts w:hint="eastAsia" w:ascii="仿宋" w:hAnsi="仿宋" w:eastAsia="仿宋" w:cs="仿宋"/>
          <w:sz w:val="32"/>
          <w:szCs w:val="32"/>
        </w:rPr>
        <w:t>。</w:t>
      </w:r>
    </w:p>
    <w:p w14:paraId="404CED8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四</w:t>
      </w:r>
      <w:r>
        <w:rPr>
          <w:rFonts w:hint="eastAsia" w:ascii="仿宋" w:hAnsi="仿宋" w:eastAsia="仿宋" w:cs="仿宋"/>
          <w:b/>
          <w:sz w:val="32"/>
          <w:szCs w:val="32"/>
        </w:rPr>
        <w:t>条 固定资产的验收</w:t>
      </w:r>
    </w:p>
    <w:p w14:paraId="1216D8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固定资产送达时，</w:t>
      </w:r>
      <w:r>
        <w:rPr>
          <w:rFonts w:hint="eastAsia" w:ascii="仿宋" w:hAnsi="仿宋" w:eastAsia="仿宋" w:cs="仿宋"/>
          <w:sz w:val="32"/>
          <w:szCs w:val="32"/>
          <w:lang w:eastAsia="zh-CN"/>
        </w:rPr>
        <w:t>办公室崔亮</w:t>
      </w:r>
      <w:r>
        <w:rPr>
          <w:rFonts w:hint="eastAsia" w:ascii="仿宋" w:hAnsi="仿宋" w:eastAsia="仿宋" w:cs="仿宋"/>
          <w:sz w:val="32"/>
          <w:szCs w:val="32"/>
        </w:rPr>
        <w:t>应点收数量、检查品质及规格是否与《固定资产购置申请单》相符。</w:t>
      </w:r>
    </w:p>
    <w:p w14:paraId="4177491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五</w:t>
      </w:r>
      <w:r>
        <w:rPr>
          <w:rFonts w:hint="eastAsia" w:ascii="仿宋" w:hAnsi="仿宋" w:eastAsia="仿宋" w:cs="仿宋"/>
          <w:b/>
          <w:sz w:val="32"/>
          <w:szCs w:val="32"/>
        </w:rPr>
        <w:t>条 固定资产的发放</w:t>
      </w:r>
    </w:p>
    <w:p w14:paraId="6AC7AC5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sz w:val="32"/>
          <w:szCs w:val="32"/>
        </w:rPr>
      </w:pPr>
      <w:r>
        <w:rPr>
          <w:rFonts w:hint="eastAsia" w:ascii="仿宋" w:hAnsi="仿宋" w:eastAsia="仿宋" w:cs="仿宋"/>
          <w:sz w:val="32"/>
          <w:szCs w:val="32"/>
        </w:rPr>
        <w:t>固定资产验收合格后，</w:t>
      </w:r>
      <w:r>
        <w:rPr>
          <w:rFonts w:hint="eastAsia" w:ascii="仿宋" w:hAnsi="仿宋" w:eastAsia="仿宋" w:cs="仿宋"/>
          <w:sz w:val="32"/>
          <w:szCs w:val="32"/>
          <w:lang w:eastAsia="zh-CN"/>
        </w:rPr>
        <w:t>办公室</w:t>
      </w:r>
      <w:r>
        <w:rPr>
          <w:rFonts w:hint="eastAsia" w:ascii="仿宋" w:hAnsi="仿宋" w:eastAsia="仿宋" w:cs="仿宋"/>
          <w:sz w:val="32"/>
          <w:szCs w:val="32"/>
        </w:rPr>
        <w:t>开具《固定资产验收登记单》并登记固定资产管理台账，将固定资产交请购单位使用，领取人员在领取单上签字确认。</w:t>
      </w:r>
    </w:p>
    <w:p w14:paraId="3C8D179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六</w:t>
      </w:r>
      <w:r>
        <w:rPr>
          <w:rFonts w:hint="eastAsia" w:ascii="仿宋" w:hAnsi="仿宋" w:eastAsia="仿宋" w:cs="仿宋"/>
          <w:b/>
          <w:sz w:val="32"/>
          <w:szCs w:val="32"/>
        </w:rPr>
        <w:t>条 财务管理职责</w:t>
      </w:r>
    </w:p>
    <w:p w14:paraId="14F5F76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1.财务</w:t>
      </w:r>
      <w:r>
        <w:rPr>
          <w:rFonts w:hint="eastAsia" w:ascii="仿宋" w:hAnsi="仿宋" w:eastAsia="仿宋" w:cs="仿宋"/>
          <w:sz w:val="32"/>
          <w:szCs w:val="32"/>
          <w:lang w:eastAsia="zh-CN"/>
        </w:rPr>
        <w:t>股</w:t>
      </w:r>
      <w:r>
        <w:rPr>
          <w:rFonts w:hint="eastAsia" w:ascii="仿宋" w:hAnsi="仿宋" w:eastAsia="仿宋" w:cs="仿宋"/>
          <w:sz w:val="32"/>
          <w:szCs w:val="32"/>
        </w:rPr>
        <w:t>负责固定资产的核算工作；</w:t>
      </w:r>
    </w:p>
    <w:p w14:paraId="3905D34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.审核固定资产购置申请、合同、发票等凭证，办理固定资产的付款；</w:t>
      </w:r>
    </w:p>
    <w:p w14:paraId="4D44FF6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4.按规定设立登记固定资产总分类账和明细账；</w:t>
      </w:r>
    </w:p>
    <w:p w14:paraId="6B7424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6.按财务制度准确、及时地提取固定资产折旧。</w:t>
      </w:r>
    </w:p>
    <w:p w14:paraId="275486C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第七条 使用个人职责</w:t>
      </w:r>
    </w:p>
    <w:p w14:paraId="1DDE885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1.负责监管、保存好分配到个人使用的固定资产，实施“谁使用，谁保管”的原则。固定资产发生遗失，非正常损耗，保管人应当承担赔偿责任。若非正常损耗，保管人能够指证责任人的，免除赔偿责任。</w:t>
      </w:r>
    </w:p>
    <w:p w14:paraId="55C3A9D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2.保持固定资产的日常清洁卫生，定期对固定资产进行清洁打扫。</w:t>
      </w:r>
    </w:p>
    <w:p w14:paraId="60A8A04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3.固定资产损坏后，应及时上报</w:t>
      </w:r>
      <w:r>
        <w:rPr>
          <w:rFonts w:hint="eastAsia" w:ascii="仿宋" w:hAnsi="仿宋" w:eastAsia="仿宋" w:cs="仿宋"/>
          <w:sz w:val="32"/>
          <w:szCs w:val="32"/>
          <w:lang w:eastAsia="zh-CN"/>
        </w:rPr>
        <w:t>办公室</w:t>
      </w:r>
      <w:r>
        <w:rPr>
          <w:rFonts w:hint="eastAsia" w:ascii="仿宋" w:hAnsi="仿宋" w:eastAsia="仿宋" w:cs="仿宋"/>
          <w:sz w:val="32"/>
          <w:szCs w:val="32"/>
        </w:rPr>
        <w:t>维修或更换。</w:t>
      </w:r>
    </w:p>
    <w:p w14:paraId="2FED61CE">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八</w:t>
      </w:r>
      <w:r>
        <w:rPr>
          <w:rFonts w:hint="eastAsia" w:ascii="仿宋" w:hAnsi="仿宋" w:eastAsia="仿宋" w:cs="仿宋"/>
          <w:b/>
          <w:sz w:val="32"/>
          <w:szCs w:val="32"/>
        </w:rPr>
        <w:t>条 固定资产的处置</w:t>
      </w:r>
    </w:p>
    <w:p w14:paraId="3AE2DAD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1.固定资产的处置包括盘盈、盘亏、报废、出售、出租、出借等事项；</w:t>
      </w:r>
    </w:p>
    <w:p w14:paraId="672045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2.固定资产的处置应由使用部门提出并填写《固定资产处置申请单》，经</w:t>
      </w:r>
      <w:r>
        <w:rPr>
          <w:rFonts w:hint="eastAsia" w:ascii="仿宋" w:hAnsi="仿宋" w:eastAsia="仿宋" w:cs="仿宋"/>
          <w:sz w:val="32"/>
          <w:szCs w:val="32"/>
          <w:lang w:eastAsia="zh-CN"/>
        </w:rPr>
        <w:t>办公室</w:t>
      </w:r>
      <w:r>
        <w:rPr>
          <w:rFonts w:hint="eastAsia" w:ascii="仿宋" w:hAnsi="仿宋" w:eastAsia="仿宋" w:cs="仿宋"/>
          <w:sz w:val="32"/>
          <w:szCs w:val="32"/>
        </w:rPr>
        <w:t>鉴定后拟定处理意见，报</w:t>
      </w:r>
      <w:r>
        <w:rPr>
          <w:rFonts w:hint="eastAsia" w:ascii="仿宋" w:hAnsi="仿宋" w:eastAsia="仿宋" w:cs="仿宋"/>
          <w:sz w:val="32"/>
          <w:szCs w:val="32"/>
          <w:lang w:eastAsia="zh-CN"/>
        </w:rPr>
        <w:t>中心领导班子开会研究后</w:t>
      </w:r>
      <w:r>
        <w:rPr>
          <w:rFonts w:hint="eastAsia" w:ascii="仿宋" w:hAnsi="仿宋" w:eastAsia="仿宋" w:cs="仿宋"/>
          <w:sz w:val="32"/>
          <w:szCs w:val="32"/>
        </w:rPr>
        <w:t>批准后执行。严禁私自移装、改装公司的固定资产，不得拆卸、挪用零件和自行处理。</w:t>
      </w:r>
    </w:p>
    <w:p w14:paraId="2D67779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3.固定资产处置后，应将批准《固定资产处置申请表》复印件及相关资料交至财务</w:t>
      </w:r>
      <w:r>
        <w:rPr>
          <w:rFonts w:hint="eastAsia" w:ascii="仿宋" w:hAnsi="仿宋" w:eastAsia="仿宋" w:cs="仿宋"/>
          <w:sz w:val="32"/>
          <w:szCs w:val="32"/>
          <w:lang w:eastAsia="zh-CN"/>
        </w:rPr>
        <w:t>股</w:t>
      </w:r>
      <w:r>
        <w:rPr>
          <w:rFonts w:hint="eastAsia" w:ascii="仿宋" w:hAnsi="仿宋" w:eastAsia="仿宋" w:cs="仿宋"/>
          <w:sz w:val="32"/>
          <w:szCs w:val="32"/>
        </w:rPr>
        <w:t>，对固定资产进行相应的账务处理</w:t>
      </w:r>
      <w:r>
        <w:rPr>
          <w:rFonts w:hint="eastAsia" w:ascii="仿宋" w:hAnsi="仿宋" w:eastAsia="仿宋" w:cs="仿宋"/>
          <w:sz w:val="32"/>
          <w:szCs w:val="32"/>
          <w:lang w:eastAsia="zh-CN"/>
        </w:rPr>
        <w:t>，并由财务股到机关事务管理服务中心进行下账处理。</w:t>
      </w:r>
    </w:p>
    <w:p w14:paraId="0AF3151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第</w:t>
      </w:r>
      <w:r>
        <w:rPr>
          <w:rFonts w:hint="eastAsia" w:ascii="仿宋" w:hAnsi="仿宋" w:eastAsia="仿宋" w:cs="仿宋"/>
          <w:b/>
          <w:sz w:val="32"/>
          <w:szCs w:val="32"/>
          <w:lang w:eastAsia="zh-CN"/>
        </w:rPr>
        <w:t>九</w:t>
      </w:r>
      <w:r>
        <w:rPr>
          <w:rFonts w:hint="eastAsia" w:ascii="仿宋" w:hAnsi="仿宋" w:eastAsia="仿宋" w:cs="仿宋"/>
          <w:b/>
          <w:sz w:val="32"/>
          <w:szCs w:val="32"/>
        </w:rPr>
        <w:t>条 固定资产报废条件</w:t>
      </w:r>
    </w:p>
    <w:p w14:paraId="73E869A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1.超过使用年限，主要结构陈旧，精度低劣，不能改装利用或调出；</w:t>
      </w:r>
    </w:p>
    <w:p w14:paraId="5FAC2A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2.使用年限未到但不能迁移的设备，因建筑物改造或工艺布局改变而必须拆除者；</w:t>
      </w:r>
    </w:p>
    <w:p w14:paraId="14FFC77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3.腐蚀过甚，无修复价值或继续使用易发生危险的；</w:t>
      </w:r>
    </w:p>
    <w:p w14:paraId="3498850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4.性能低劣且无修复价值的；</w:t>
      </w:r>
    </w:p>
    <w:p w14:paraId="0CF3C37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5.能耗大或严重污染环境，危害人身安全与健康，进行改造又不经济的；</w:t>
      </w:r>
    </w:p>
    <w:p w14:paraId="561CAFA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6.决定淘汰或更换的。</w:t>
      </w:r>
    </w:p>
    <w:p w14:paraId="5EDCF126">
      <w:pPr>
        <w:rPr>
          <w:rFonts w:hint="eastAsia" w:ascii="宋体" w:hAnsi="宋体" w:eastAsia="宋体" w:cs="宋体"/>
          <w:sz w:val="28"/>
        </w:rPr>
      </w:pPr>
    </w:p>
    <w:p w14:paraId="6E7997CE">
      <w:pPr>
        <w:rPr>
          <w:rFonts w:hint="eastAsia" w:ascii="宋体" w:hAnsi="宋体" w:eastAsia="宋体" w:cs="宋体"/>
          <w:sz w:val="28"/>
        </w:rPr>
      </w:pPr>
    </w:p>
    <w:bookmarkEnd w:id="0"/>
    <w:p w14:paraId="334D56E3">
      <w:pPr>
        <w:rPr>
          <w:rFonts w:hint="eastAsia" w:ascii="宋体" w:hAnsi="宋体" w:eastAsia="宋体" w:cs="宋体"/>
          <w:sz w:val="28"/>
        </w:rPr>
      </w:pPr>
    </w:p>
    <w:p w14:paraId="3CC446A2">
      <w:pPr>
        <w:rPr>
          <w:rFonts w:hint="eastAsia" w:ascii="宋体" w:hAnsi="宋体" w:eastAsia="宋体" w:cs="宋体"/>
          <w:sz w:val="28"/>
        </w:rPr>
      </w:pPr>
    </w:p>
    <w:p w14:paraId="1A8AA7F5">
      <w:pPr>
        <w:rPr>
          <w:rFonts w:hint="eastAsia" w:ascii="宋体" w:hAnsi="宋体" w:eastAsia="宋体" w:cs="宋体"/>
          <w:sz w:val="28"/>
        </w:rPr>
      </w:pPr>
    </w:p>
    <w:p w14:paraId="6579B941">
      <w:pPr>
        <w:rPr>
          <w:rFonts w:hint="eastAsia" w:ascii="宋体" w:hAnsi="宋体" w:eastAsia="宋体" w:cs="宋体"/>
          <w:sz w:val="2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20C26F28">
      <w:pPr>
        <w:rPr>
          <w:rFonts w:hint="eastAsia" w:ascii="宋体" w:hAnsi="宋体" w:eastAsia="宋体" w:cs="宋体"/>
          <w:sz w:val="28"/>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3BFA05-EF5D-4386-9ED5-9949A1D8BEE8}"/>
  </w:font>
  <w:font w:name="Arial">
    <w:panose1 w:val="020B0604020202020204"/>
    <w:charset w:val="01"/>
    <w:family w:val="swiss"/>
    <w:pitch w:val="default"/>
    <w:sig w:usb0="E0002AFF" w:usb1="C0007843" w:usb2="00000009" w:usb3="00000000" w:csb0="400001FF" w:csb1="FFFF0000"/>
    <w:embedRegular r:id="rId2" w:fontKey="{6379D875-5A9A-4442-AC65-451E5BF6C1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8A316BD-84AA-472E-A468-2847127DA546}"/>
  </w:font>
  <w:font w:name="Symbol">
    <w:panose1 w:val="05050102010706020507"/>
    <w:charset w:val="02"/>
    <w:family w:val="roman"/>
    <w:pitch w:val="default"/>
    <w:sig w:usb0="00000000" w:usb1="00000000" w:usb2="00000000" w:usb3="00000000" w:csb0="80000000" w:csb1="00000000"/>
    <w:embedRegular r:id="rId4" w:fontKey="{83221820-EF37-477E-A5D5-FD082DA724A2}"/>
  </w:font>
  <w:font w:name="Calibri">
    <w:panose1 w:val="020F0502020204030204"/>
    <w:charset w:val="00"/>
    <w:family w:val="swiss"/>
    <w:pitch w:val="default"/>
    <w:sig w:usb0="E00002FF" w:usb1="4000ACFF" w:usb2="00000001" w:usb3="00000000" w:csb0="2000019F" w:csb1="00000000"/>
    <w:embedRegular r:id="rId5" w:fontKey="{E6A5C30D-1D4D-4DE5-87AC-9E36CE30B0C6}"/>
  </w:font>
  <w:font w:name="方正小标宋简体">
    <w:panose1 w:val="02010600010101010101"/>
    <w:charset w:val="86"/>
    <w:family w:val="auto"/>
    <w:pitch w:val="default"/>
    <w:sig w:usb0="00000001" w:usb1="080E0000" w:usb2="00000000" w:usb3="00000000" w:csb0="00040000" w:csb1="00000000"/>
    <w:embedRegular r:id="rId6" w:fontKey="{A0272B10-BE47-472F-814D-C04280EAB0BC}"/>
  </w:font>
  <w:font w:name="仿宋">
    <w:panose1 w:val="02010609060101010101"/>
    <w:charset w:val="86"/>
    <w:family w:val="auto"/>
    <w:pitch w:val="default"/>
    <w:sig w:usb0="800002BF" w:usb1="38CF7CFA" w:usb2="00000016" w:usb3="00000000" w:csb0="00040001" w:csb1="00000000"/>
    <w:embedRegular r:id="rId7" w:fontKey="{0CF7A64F-DCB9-404A-BC04-C5510CDD5B18}"/>
  </w:font>
  <w:font w:name="微软雅黑">
    <w:panose1 w:val="020B0503020204020204"/>
    <w:charset w:val="86"/>
    <w:family w:val="swiss"/>
    <w:pitch w:val="default"/>
    <w:sig w:usb0="80000287" w:usb1="280F3C52" w:usb2="00000016" w:usb3="00000000" w:csb0="0004001F" w:csb1="00000000"/>
    <w:embedRegular r:id="rId8" w:fontKey="{F468AC6D-7EAD-447B-910A-A2B5772EF72C}"/>
  </w:font>
  <w:font w:name="汉仪君黑-55W">
    <w:altName w:val="黑体"/>
    <w:panose1 w:val="00020600040101010101"/>
    <w:charset w:val="86"/>
    <w:family w:val="auto"/>
    <w:pitch w:val="default"/>
    <w:sig w:usb0="00000000" w:usb1="00000000"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DE51B">
    <w:pPr>
      <w:pStyle w:val="4"/>
      <w:jc w:val="center"/>
    </w:pPr>
  </w:p>
  <w:p w14:paraId="6041B5E9">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C50EC">
    <w:pPr>
      <w:pStyle w:val="4"/>
      <w:jc w:val="center"/>
    </w:pPr>
  </w:p>
  <w:p w14:paraId="75BD2943">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039B4">
    <w:pPr>
      <w:pStyle w:val="5"/>
      <w:pBdr>
        <w:bottom w:val="none" w:color="auto" w:sz="0" w:space="1"/>
      </w:pBdr>
      <w:jc w:val="both"/>
      <w:rPr>
        <w:rFonts w:ascii="微软雅黑" w:hAnsi="微软雅黑" w:eastAsia="微软雅黑"/>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mIyYzMwYWFhMDI3NjA2NTY0NTExMGQxZmM5NzYifQ=="/>
  </w:docVars>
  <w:rsids>
    <w:rsidRoot w:val="02454088"/>
    <w:rsid w:val="00141FBD"/>
    <w:rsid w:val="00165674"/>
    <w:rsid w:val="0019335F"/>
    <w:rsid w:val="001F0ED3"/>
    <w:rsid w:val="00202869"/>
    <w:rsid w:val="002148B1"/>
    <w:rsid w:val="0022345C"/>
    <w:rsid w:val="0028250F"/>
    <w:rsid w:val="002B1DAA"/>
    <w:rsid w:val="0035503A"/>
    <w:rsid w:val="003C2F73"/>
    <w:rsid w:val="00417551"/>
    <w:rsid w:val="00437BEC"/>
    <w:rsid w:val="004738B4"/>
    <w:rsid w:val="004A2C8F"/>
    <w:rsid w:val="00533B12"/>
    <w:rsid w:val="005B308C"/>
    <w:rsid w:val="005B41ED"/>
    <w:rsid w:val="00623A17"/>
    <w:rsid w:val="00663947"/>
    <w:rsid w:val="0069122F"/>
    <w:rsid w:val="006A5513"/>
    <w:rsid w:val="0070450B"/>
    <w:rsid w:val="00704678"/>
    <w:rsid w:val="0079287B"/>
    <w:rsid w:val="007937C5"/>
    <w:rsid w:val="007948B4"/>
    <w:rsid w:val="007E07F3"/>
    <w:rsid w:val="007E7E1B"/>
    <w:rsid w:val="00834367"/>
    <w:rsid w:val="008A7212"/>
    <w:rsid w:val="008B1DED"/>
    <w:rsid w:val="008C7AE7"/>
    <w:rsid w:val="008F2EB0"/>
    <w:rsid w:val="009C4E05"/>
    <w:rsid w:val="009D7F09"/>
    <w:rsid w:val="00A242AE"/>
    <w:rsid w:val="00A42752"/>
    <w:rsid w:val="00A54778"/>
    <w:rsid w:val="00A77121"/>
    <w:rsid w:val="00B36832"/>
    <w:rsid w:val="00B62197"/>
    <w:rsid w:val="00BC7F56"/>
    <w:rsid w:val="00C276F8"/>
    <w:rsid w:val="00C7703D"/>
    <w:rsid w:val="00CA6025"/>
    <w:rsid w:val="00CD309C"/>
    <w:rsid w:val="00E301C0"/>
    <w:rsid w:val="00EC64EB"/>
    <w:rsid w:val="00EE6C67"/>
    <w:rsid w:val="00EF12D2"/>
    <w:rsid w:val="00F132C2"/>
    <w:rsid w:val="00F20ACF"/>
    <w:rsid w:val="00F7323F"/>
    <w:rsid w:val="00F94D9D"/>
    <w:rsid w:val="00FE182E"/>
    <w:rsid w:val="00FF07D7"/>
    <w:rsid w:val="02454088"/>
    <w:rsid w:val="04815320"/>
    <w:rsid w:val="0C894B8C"/>
    <w:rsid w:val="288F746D"/>
    <w:rsid w:val="33F756F5"/>
    <w:rsid w:val="5AA15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Balloon Text"/>
    <w:basedOn w:val="1"/>
    <w:link w:val="17"/>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annotation subject"/>
    <w:basedOn w:val="2"/>
    <w:next w:val="2"/>
    <w:link w:val="16"/>
    <w:semiHidden/>
    <w:unhideWhenUsed/>
    <w:qFormat/>
    <w:uiPriority w:val="99"/>
    <w:rPr>
      <w:b/>
      <w:bCs/>
    </w:rPr>
  </w:style>
  <w:style w:type="character" w:styleId="10">
    <w:name w:val="Hyperlink"/>
    <w:basedOn w:val="9"/>
    <w:semiHidden/>
    <w:unhideWhenUsed/>
    <w:qFormat/>
    <w:uiPriority w:val="99"/>
    <w:rPr>
      <w:color w:val="0000FF"/>
      <w:u w:val="single"/>
    </w:rPr>
  </w:style>
  <w:style w:type="character" w:styleId="11">
    <w:name w:val="annotation reference"/>
    <w:basedOn w:val="9"/>
    <w:semiHidden/>
    <w:unhideWhenUsed/>
    <w:qFormat/>
    <w:uiPriority w:val="99"/>
    <w:rPr>
      <w:sz w:val="21"/>
      <w:szCs w:val="21"/>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文字 Char"/>
    <w:basedOn w:val="9"/>
    <w:link w:val="2"/>
    <w:semiHidden/>
    <w:qFormat/>
    <w:uiPriority w:val="99"/>
  </w:style>
  <w:style w:type="character" w:customStyle="1" w:styleId="16">
    <w:name w:val="批注主题 Char"/>
    <w:basedOn w:val="15"/>
    <w:link w:val="7"/>
    <w:semiHidden/>
    <w:qFormat/>
    <w:uiPriority w:val="99"/>
    <w:rPr>
      <w:b/>
      <w:bCs/>
    </w:rPr>
  </w:style>
  <w:style w:type="character" w:customStyle="1" w:styleId="17">
    <w:name w:val="批注框文本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7eb70d7a-2686-af10-498d-0f7ef024817e\&#22266;&#23450;&#36164;&#20135;&#31649;&#29702;&#21046;&#2423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9B5C-66B9-4FE1-9FE0-F20918B3FD18}">
  <ds:schemaRefs/>
</ds:datastoreItem>
</file>

<file path=docProps/app.xml><?xml version="1.0" encoding="utf-8"?>
<Properties xmlns="http://schemas.openxmlformats.org/officeDocument/2006/extended-properties" xmlns:vt="http://schemas.openxmlformats.org/officeDocument/2006/docPropsVTypes">
  <Template>固定资产管理制度.docx</Template>
  <Pages>4</Pages>
  <Words>1060</Words>
  <Characters>1082</Characters>
  <Lines>20</Lines>
  <Paragraphs>5</Paragraphs>
  <TotalTime>11</TotalTime>
  <ScaleCrop>false</ScaleCrop>
  <LinksUpToDate>false</LinksUpToDate>
  <CharactersWithSpaces>1091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2023-08-18T01:55:00Z</dcterms:created>
  <dc:creator>好事多磨</dc:creator>
  <cp:lastModifiedBy>好事多磨</cp:lastModifiedBy>
  <cp:lastPrinted>2025-05-05T08:06:26Z</cp:lastPrinted>
  <dcterms:modified xsi:type="dcterms:W3CDTF">2025-05-05T08:06:33Z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0CFB46F62BC54E36967DD29F848D1197_11</vt:lpwstr>
  </property>
  <property fmtid="{D5CDD505-2E9C-101B-9397-08002B2CF9AE}" pid="4" name="KSOTemplateDocerSaveRecord">
    <vt:lpwstr>eyJoZGlkIjoiM2ZlNmIyYzMwYWFhMDI3NjA2NTY0NTExMGQxZmM5NzYiLCJ1c2VySWQiOiIyNTg1MjgwNTkifQ==</vt:lpwstr>
  </property>
</Properties>
</file>