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rPr>
          <w:rFonts w:hint="eastAsia" w:ascii="方正小标宋简体" w:hAnsi="方正小标宋简体" w:eastAsia="方正小标宋简体" w:cs="方正小标宋简体"/>
          <w:spacing w:val="-20"/>
          <w:sz w:val="44"/>
          <w:szCs w:val="44"/>
        </w:rPr>
      </w:pPr>
    </w:p>
    <w:p>
      <w:pPr>
        <w:pStyle w:val="3"/>
        <w:numPr>
          <w:ilvl w:val="0"/>
          <w:numId w:val="0"/>
        </w:numP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20"/>
          <w:sz w:val="44"/>
          <w:szCs w:val="44"/>
        </w:rPr>
        <w:t>关于对《上党经济技术开发区控制性详细规划</w:t>
      </w:r>
      <w:r>
        <w:rPr>
          <w:rFonts w:hint="eastAsia" w:ascii="方正小标宋简体" w:hAnsi="方正小标宋简体" w:eastAsia="方正小标宋简体" w:cs="方正小标宋简体"/>
          <w:sz w:val="44"/>
          <w:szCs w:val="44"/>
        </w:rPr>
        <w:t>（2</w:t>
      </w:r>
      <w:r>
        <w:rPr>
          <w:rFonts w:hint="eastAsia" w:ascii="方正小标宋简体" w:hAnsi="方正小标宋简体" w:eastAsia="方正小标宋简体" w:cs="方正小标宋简体"/>
          <w:sz w:val="44"/>
          <w:szCs w:val="44"/>
        </w:rPr>
        <w:t>021-2035</w:t>
      </w:r>
      <w:r>
        <w:rPr>
          <w:rFonts w:hint="eastAsia" w:ascii="方正小标宋简体" w:hAnsi="方正小标宋简体" w:eastAsia="方正小标宋简体" w:cs="方正小标宋简体"/>
          <w:sz w:val="44"/>
          <w:szCs w:val="44"/>
        </w:rPr>
        <w:t>）》的公示</w:t>
      </w:r>
    </w:p>
    <w:p>
      <w:pPr>
        <w:pStyle w:val="5"/>
        <w:numPr>
          <w:ilvl w:val="0"/>
          <w:numId w:val="0"/>
        </w:numPr>
        <w:ind w:left="720" w:leftChars="0" w:hanging="720" w:firstLineChars="0"/>
        <w:rPr>
          <w:rFonts w:hint="default" w:ascii="楷体_GB2312" w:hAnsi="微软雅黑" w:eastAsia="仿宋_GB2312" w:cstheme="minorBidi"/>
          <w:b/>
          <w:bCs/>
          <w:kern w:val="2"/>
          <w:sz w:val="32"/>
          <w:szCs w:val="32"/>
          <w:lang w:val="en-US" w:eastAsia="zh-CN" w:bidi="ar-SA"/>
        </w:rPr>
      </w:pPr>
      <w:bookmarkStart w:id="0" w:name="_Toc32147"/>
    </w:p>
    <w:p>
      <w:pPr>
        <w:pStyle w:val="5"/>
        <w:pageBreakBefore w:val="0"/>
        <w:numPr>
          <w:ilvl w:val="0"/>
          <w:numId w:val="0"/>
        </w:numPr>
        <w:kinsoku/>
        <w:wordWrap/>
        <w:overflowPunct/>
        <w:topLinePunct w:val="0"/>
        <w:autoSpaceDE/>
        <w:autoSpaceDN/>
        <w:bidi w:val="0"/>
        <w:adjustRightInd w:val="0"/>
        <w:snapToGrid w:val="0"/>
        <w:spacing w:line="576" w:lineRule="exact"/>
        <w:ind w:left="720" w:leftChars="200" w:hanging="80" w:hangingChars="25"/>
        <w:textAlignment w:val="auto"/>
      </w:pPr>
      <w:r>
        <w:rPr>
          <w:rFonts w:hint="default" w:ascii="楷体_GB2312" w:hAnsi="微软雅黑" w:eastAsia="仿宋_GB2312" w:cstheme="minorBidi"/>
          <w:b/>
          <w:bCs/>
          <w:kern w:val="2"/>
          <w:sz w:val="32"/>
          <w:szCs w:val="32"/>
          <w:lang w:val="en-US" w:eastAsia="zh-CN" w:bidi="ar-SA"/>
        </w:rPr>
        <w:t>一、</w:t>
      </w:r>
      <w:r>
        <w:rPr>
          <w:rFonts w:hint="eastAsia"/>
        </w:rPr>
        <w:t>规划</w:t>
      </w:r>
      <w:bookmarkEnd w:id="0"/>
      <w:r>
        <w:rPr>
          <w:rFonts w:hint="eastAsia"/>
        </w:rPr>
        <w:t>编制背景</w:t>
      </w:r>
    </w:p>
    <w:p>
      <w:pPr>
        <w:pageBreakBefore w:val="0"/>
        <w:kinsoku/>
        <w:wordWrap/>
        <w:overflowPunct/>
        <w:topLinePunct w:val="0"/>
        <w:autoSpaceDE/>
        <w:autoSpaceDN/>
        <w:bidi w:val="0"/>
        <w:adjustRightInd w:val="0"/>
        <w:snapToGrid w:val="0"/>
        <w:spacing w:line="576" w:lineRule="exact"/>
        <w:ind w:firstLine="640"/>
        <w:textAlignment w:val="auto"/>
      </w:pPr>
      <w:r>
        <w:rPr>
          <w:rFonts w:hint="eastAsia"/>
        </w:rPr>
        <w:t>根据</w:t>
      </w:r>
      <w:r>
        <w:t>《自然资源部关于加强国土空间详细规划工作的通知（自然资发〔2023〕43号）》《山西省自然资源厅关于规范城镇开发边界内开发区详细规划编制审批和管理的通知（晋自然资函〔2023〕758号）》</w:t>
      </w:r>
      <w:r>
        <w:rPr>
          <w:rFonts w:hint="eastAsia"/>
        </w:rPr>
        <w:t>要求，控制性详细规划是上党经济技术开发区（以下简称开发区）实施国土空间用途管制和核发建设用地规划许可证、建设工程规划许可证等建设项目规划许可以及实施开发建设的法定依据；是优化开发区空间结构、完善功能配置、激发发展活力的实施性政策工具。通过《规划》统筹高效配置空间资源、优化空间功能布局、提升空间功能价值，为开发区高质量发展提供更高质量、更高效率、更加公平、更可持续、更为安全的空间保障，也可以持续为高质量发展塑造新优势、创造新空间、激发新活力、释放新动能。</w:t>
      </w:r>
    </w:p>
    <w:p>
      <w:pPr>
        <w:pStyle w:val="5"/>
        <w:pageBreakBefore w:val="0"/>
        <w:numPr>
          <w:ilvl w:val="0"/>
          <w:numId w:val="0"/>
        </w:numPr>
        <w:kinsoku/>
        <w:wordWrap/>
        <w:overflowPunct/>
        <w:topLinePunct w:val="0"/>
        <w:autoSpaceDE/>
        <w:autoSpaceDN/>
        <w:bidi w:val="0"/>
        <w:adjustRightInd w:val="0"/>
        <w:snapToGrid w:val="0"/>
        <w:spacing w:line="576" w:lineRule="exact"/>
        <w:ind w:left="720" w:leftChars="200" w:hanging="80" w:hangingChars="25"/>
        <w:textAlignment w:val="auto"/>
      </w:pPr>
      <w:bookmarkStart w:id="1" w:name="_Toc29184"/>
      <w:r>
        <w:rPr>
          <w:rFonts w:hint="default" w:ascii="楷体_GB2312" w:hAnsi="微软雅黑" w:eastAsia="仿宋_GB2312" w:cstheme="minorBidi"/>
          <w:b/>
          <w:bCs/>
          <w:kern w:val="2"/>
          <w:sz w:val="32"/>
          <w:szCs w:val="32"/>
          <w:lang w:val="en-US" w:eastAsia="zh-CN" w:bidi="ar-SA"/>
        </w:rPr>
        <w:t>二、</w:t>
      </w:r>
      <w:r>
        <w:rPr>
          <w:rFonts w:hint="eastAsia"/>
        </w:rPr>
        <w:t>规划范围</w:t>
      </w:r>
      <w:bookmarkEnd w:id="1"/>
    </w:p>
    <w:p>
      <w:pPr>
        <w:pageBreakBefore w:val="0"/>
        <w:kinsoku/>
        <w:wordWrap/>
        <w:overflowPunct/>
        <w:topLinePunct w:val="0"/>
        <w:autoSpaceDE/>
        <w:autoSpaceDN/>
        <w:bidi w:val="0"/>
        <w:adjustRightInd w:val="0"/>
        <w:snapToGrid w:val="0"/>
        <w:spacing w:line="576" w:lineRule="exact"/>
        <w:ind w:firstLine="640"/>
        <w:textAlignment w:val="auto"/>
      </w:pPr>
      <w:r>
        <w:rPr>
          <w:rFonts w:hint="eastAsia"/>
        </w:rPr>
        <w:t>本次控规编制范围依据《上党区国土空间总体规划（2</w:t>
      </w:r>
      <w:r>
        <w:t>021-2035</w:t>
      </w:r>
      <w:r>
        <w:rPr>
          <w:rFonts w:hint="eastAsia"/>
        </w:rPr>
        <w:t>）》划定城镇开发边界确定，开发区“一区三园”范围内全部城镇开发边界面积为3</w:t>
      </w:r>
      <w:r>
        <w:t>70.06</w:t>
      </w:r>
      <w:r>
        <w:rPr>
          <w:rFonts w:hint="eastAsia"/>
        </w:rPr>
        <w:t>公顷。</w:t>
      </w:r>
    </w:p>
    <w:p>
      <w:pPr>
        <w:pageBreakBefore w:val="0"/>
        <w:kinsoku/>
        <w:wordWrap/>
        <w:overflowPunct/>
        <w:topLinePunct w:val="0"/>
        <w:autoSpaceDE/>
        <w:autoSpaceDN/>
        <w:bidi w:val="0"/>
        <w:adjustRightInd w:val="0"/>
        <w:snapToGrid w:val="0"/>
        <w:spacing w:line="576" w:lineRule="exact"/>
        <w:ind w:firstLine="640"/>
        <w:textAlignment w:val="auto"/>
      </w:pPr>
      <w:r>
        <w:rPr>
          <w:rFonts w:hint="eastAsia"/>
        </w:rPr>
        <w:t>其中</w:t>
      </w:r>
      <w:r>
        <w:t>现代物流园</w:t>
      </w:r>
      <w:r>
        <w:rPr>
          <w:rFonts w:hint="eastAsia"/>
        </w:rPr>
        <w:t>规划</w:t>
      </w:r>
      <w:r>
        <w:t>面积176.90公顷，范围东至太焦高铁西</w:t>
      </w:r>
      <w:r>
        <w:rPr>
          <w:rFonts w:hint="eastAsia"/>
        </w:rPr>
        <w:t>侧</w:t>
      </w:r>
      <w:r>
        <w:t>，南至</w:t>
      </w:r>
      <w:r>
        <w:rPr>
          <w:rFonts w:hint="eastAsia"/>
        </w:rPr>
        <w:t>英雄南路与国道2</w:t>
      </w:r>
      <w:r>
        <w:t>07</w:t>
      </w:r>
      <w:r>
        <w:rPr>
          <w:rFonts w:hint="eastAsia"/>
        </w:rPr>
        <w:t>交叉口以南4</w:t>
      </w:r>
      <w:r>
        <w:t>00</w:t>
      </w:r>
      <w:r>
        <w:rPr>
          <w:rFonts w:hint="eastAsia"/>
        </w:rPr>
        <w:t>米</w:t>
      </w:r>
      <w:r>
        <w:t>，西至光明路</w:t>
      </w:r>
      <w:r>
        <w:rPr>
          <w:rFonts w:hint="eastAsia"/>
        </w:rPr>
        <w:t>与国道2</w:t>
      </w:r>
      <w:r>
        <w:t>07</w:t>
      </w:r>
      <w:r>
        <w:rPr>
          <w:rFonts w:hint="eastAsia"/>
        </w:rPr>
        <w:t>交叉口</w:t>
      </w:r>
      <w:r>
        <w:t>东</w:t>
      </w:r>
      <w:r>
        <w:rPr>
          <w:rFonts w:hint="eastAsia"/>
        </w:rPr>
        <w:t>约</w:t>
      </w:r>
      <w:r>
        <w:t>350米，北至</w:t>
      </w:r>
      <w:r>
        <w:rPr>
          <w:rFonts w:hint="eastAsia"/>
        </w:rPr>
        <w:t>苏店镇镇区北缘以南</w:t>
      </w:r>
      <w:r>
        <w:t>500米</w:t>
      </w:r>
      <w:r>
        <w:rPr>
          <w:rFonts w:hint="eastAsia"/>
        </w:rPr>
        <w:t>。</w:t>
      </w:r>
    </w:p>
    <w:p>
      <w:pPr>
        <w:pageBreakBefore w:val="0"/>
        <w:kinsoku/>
        <w:wordWrap/>
        <w:overflowPunct/>
        <w:topLinePunct w:val="0"/>
        <w:autoSpaceDE/>
        <w:autoSpaceDN/>
        <w:bidi w:val="0"/>
        <w:adjustRightInd w:val="0"/>
        <w:snapToGrid w:val="0"/>
        <w:spacing w:line="576" w:lineRule="exact"/>
        <w:ind w:firstLine="640"/>
        <w:textAlignment w:val="auto"/>
      </w:pPr>
      <w:r>
        <w:t>医药健康产业园</w:t>
      </w:r>
      <w:r>
        <w:rPr>
          <w:rFonts w:hint="eastAsia"/>
        </w:rPr>
        <w:t>规划</w:t>
      </w:r>
      <w:r>
        <w:t>面积</w:t>
      </w:r>
      <w:r>
        <w:rPr>
          <w:rFonts w:hint="eastAsia"/>
        </w:rPr>
        <w:t>8</w:t>
      </w:r>
      <w:r>
        <w:t>6.01公顷，范围东至</w:t>
      </w:r>
      <w:r>
        <w:rPr>
          <w:rFonts w:hint="eastAsia"/>
        </w:rPr>
        <w:t>振东中草药园东4</w:t>
      </w:r>
      <w:r>
        <w:t>00米，南至</w:t>
      </w:r>
      <w:r>
        <w:rPr>
          <w:rFonts w:hint="eastAsia"/>
        </w:rPr>
        <w:t>东汉</w:t>
      </w:r>
      <w:r>
        <w:t>村村庄北</w:t>
      </w:r>
      <w:r>
        <w:rPr>
          <w:rFonts w:hint="eastAsia"/>
        </w:rPr>
        <w:t>缘</w:t>
      </w:r>
      <w:r>
        <w:t>，西至光明路东</w:t>
      </w:r>
      <w:r>
        <w:rPr>
          <w:rFonts w:hint="eastAsia"/>
        </w:rPr>
        <w:t>侧</w:t>
      </w:r>
      <w:r>
        <w:t>，北至</w:t>
      </w:r>
      <w:r>
        <w:rPr>
          <w:rFonts w:hint="eastAsia"/>
        </w:rPr>
        <w:t>幸福广场北缘。</w:t>
      </w:r>
    </w:p>
    <w:p>
      <w:pPr>
        <w:pageBreakBefore w:val="0"/>
        <w:kinsoku/>
        <w:wordWrap/>
        <w:overflowPunct/>
        <w:topLinePunct w:val="0"/>
        <w:autoSpaceDE/>
        <w:autoSpaceDN/>
        <w:bidi w:val="0"/>
        <w:adjustRightInd w:val="0"/>
        <w:snapToGrid w:val="0"/>
        <w:spacing w:line="576" w:lineRule="exact"/>
        <w:ind w:firstLine="640"/>
        <w:textAlignment w:val="auto"/>
      </w:pPr>
      <w:r>
        <w:t>先进装备制造园</w:t>
      </w:r>
      <w:r>
        <w:rPr>
          <w:rFonts w:hint="eastAsia"/>
        </w:rPr>
        <w:t>规划</w:t>
      </w:r>
      <w:r>
        <w:t>面积</w:t>
      </w:r>
      <w:r>
        <w:rPr>
          <w:rFonts w:hint="eastAsia"/>
        </w:rPr>
        <w:t>1</w:t>
      </w:r>
      <w:r>
        <w:t>07.15公顷，</w:t>
      </w:r>
      <w:r>
        <w:rPr>
          <w:rFonts w:hint="eastAsia"/>
        </w:rPr>
        <w:t>范围</w:t>
      </w:r>
      <w:r>
        <w:t>东至</w:t>
      </w:r>
      <w:r>
        <w:rPr>
          <w:rFonts w:hint="eastAsia"/>
        </w:rPr>
        <w:t>唐王岭村居民点西侧3</w:t>
      </w:r>
      <w:r>
        <w:t>50</w:t>
      </w:r>
      <w:r>
        <w:rPr>
          <w:rFonts w:hint="eastAsia"/>
        </w:rPr>
        <w:t>米</w:t>
      </w:r>
      <w:r>
        <w:t>，南至长陵路与河东村道路交叉口北200米，西至王庄煤矿铁路专用线东8米，北至</w:t>
      </w:r>
      <w:r>
        <w:rPr>
          <w:rFonts w:hint="eastAsia"/>
        </w:rPr>
        <w:t>陶清河道南</w:t>
      </w:r>
      <w:r>
        <w:t>。</w:t>
      </w:r>
    </w:p>
    <w:p>
      <w:pPr>
        <w:pStyle w:val="2"/>
        <w:ind w:left="0" w:leftChars="0"/>
        <w:jc w:val="center"/>
        <w:rPr>
          <w:rFonts w:hint="eastAsia"/>
        </w:rPr>
      </w:pPr>
      <w:r>
        <w:drawing>
          <wp:anchor distT="0" distB="0" distL="114300" distR="114300" simplePos="0" relativeHeight="251659264" behindDoc="0" locked="0" layoutInCell="1" allowOverlap="1">
            <wp:simplePos x="0" y="0"/>
            <wp:positionH relativeFrom="column">
              <wp:posOffset>639445</wp:posOffset>
            </wp:positionH>
            <wp:positionV relativeFrom="paragraph">
              <wp:posOffset>5196205</wp:posOffset>
            </wp:positionV>
            <wp:extent cx="1007110" cy="392430"/>
            <wp:effectExtent l="0" t="0" r="3175" b="7620"/>
            <wp:wrapNone/>
            <wp:docPr id="228672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72678"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33623" cy="403071"/>
                    </a:xfrm>
                    <a:prstGeom prst="rect">
                      <a:avLst/>
                    </a:prstGeom>
                  </pic:spPr>
                </pic:pic>
              </a:graphicData>
            </a:graphic>
          </wp:anchor>
        </w:drawing>
      </w:r>
      <w:r>
        <w:t xml:space="preserve"> </w:t>
      </w:r>
      <w:r>
        <w:drawing>
          <wp:inline distT="0" distB="0" distL="0" distR="0">
            <wp:extent cx="4080510" cy="5416550"/>
            <wp:effectExtent l="0" t="0" r="0" b="0"/>
            <wp:docPr id="1433049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9178"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l="9150" t="11427" r="9343" b="12047"/>
                    <a:stretch>
                      <a:fillRect/>
                    </a:stretch>
                  </pic:blipFill>
                  <pic:spPr>
                    <a:xfrm>
                      <a:off x="0" y="0"/>
                      <a:ext cx="4085555" cy="5423572"/>
                    </a:xfrm>
                    <a:prstGeom prst="rect">
                      <a:avLst/>
                    </a:prstGeom>
                    <a:noFill/>
                    <a:ln>
                      <a:noFill/>
                    </a:ln>
                  </pic:spPr>
                </pic:pic>
              </a:graphicData>
            </a:graphic>
          </wp:inline>
        </w:drawing>
      </w:r>
    </w:p>
    <w:p>
      <w:pPr>
        <w:pStyle w:val="5"/>
        <w:numPr>
          <w:ilvl w:val="0"/>
          <w:numId w:val="0"/>
        </w:numPr>
        <w:ind w:left="720" w:leftChars="200" w:hanging="80" w:hangingChars="25"/>
      </w:pPr>
      <w:r>
        <w:rPr>
          <w:rFonts w:hint="default" w:ascii="楷体_GB2312" w:hAnsi="微软雅黑" w:eastAsia="仿宋_GB2312" w:cstheme="minorBidi"/>
          <w:b/>
          <w:bCs/>
          <w:kern w:val="2"/>
          <w:sz w:val="32"/>
          <w:szCs w:val="32"/>
          <w:lang w:val="en-US" w:eastAsia="zh-CN" w:bidi="ar-SA"/>
        </w:rPr>
        <w:t>三、</w:t>
      </w:r>
      <w:r>
        <w:rPr>
          <w:rFonts w:hint="eastAsia"/>
        </w:rPr>
        <w:t>分区结构</w:t>
      </w:r>
    </w:p>
    <w:p>
      <w:pPr>
        <w:ind w:firstLine="640"/>
      </w:pPr>
      <w:r>
        <w:rPr>
          <w:rFonts w:hint="eastAsia"/>
        </w:rPr>
        <w:t>确定开发边界内的现代物流园功能结构为“一心一轴三片区”，“一心”为依托开发区管委会形成的行政办公、科技研发、商务会展等综合服务中心，“一轴”为依托国道2</w:t>
      </w:r>
      <w:r>
        <w:t>07</w:t>
      </w:r>
      <w:r>
        <w:rPr>
          <w:rFonts w:hint="eastAsia"/>
        </w:rPr>
        <w:t>形成的东西向产业联系轴，“三片区”为商务贸易区、智慧物流区、农产品加工区。</w:t>
      </w:r>
    </w:p>
    <w:p>
      <w:pPr>
        <w:pStyle w:val="2"/>
        <w:ind w:left="0" w:leftChars="0"/>
        <w:rPr>
          <w:rFonts w:hint="eastAsia"/>
        </w:rPr>
      </w:pPr>
      <w:r>
        <w:drawing>
          <wp:inline distT="0" distB="0" distL="0" distR="0">
            <wp:extent cx="5251450" cy="3543300"/>
            <wp:effectExtent l="0" t="0" r="6350" b="0"/>
            <wp:docPr id="2105270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70801" name="图片 1"/>
                    <pic:cNvPicPr>
                      <a:picLocks noChangeAspect="1"/>
                    </pic:cNvPicPr>
                  </pic:nvPicPr>
                  <pic:blipFill>
                    <a:blip r:embed="rId8"/>
                    <a:srcRect r="434" b="747"/>
                    <a:stretch>
                      <a:fillRect/>
                    </a:stretch>
                  </pic:blipFill>
                  <pic:spPr>
                    <a:xfrm>
                      <a:off x="0" y="0"/>
                      <a:ext cx="5251450" cy="3543300"/>
                    </a:xfrm>
                    <a:prstGeom prst="rect">
                      <a:avLst/>
                    </a:prstGeom>
                    <a:ln>
                      <a:noFill/>
                    </a:ln>
                  </pic:spPr>
                </pic:pic>
              </a:graphicData>
            </a:graphic>
          </wp:inline>
        </w:drawing>
      </w:r>
    </w:p>
    <w:p>
      <w:pPr>
        <w:ind w:firstLine="640"/>
      </w:pPr>
      <w:r>
        <w:rPr>
          <w:rFonts w:hint="eastAsia"/>
        </w:rPr>
        <w:t>确定医药健康产业园功能结构为“一心两轴三片区”，“一心”为依托原振东医药园核心形成</w:t>
      </w:r>
      <w:r>
        <w:rPr>
          <w:rFonts w:hint="eastAsia"/>
          <w:highlight w:val="none"/>
        </w:rPr>
        <w:t>的综合服务</w:t>
      </w:r>
      <w:r>
        <w:rPr>
          <w:rFonts w:hint="eastAsia"/>
        </w:rPr>
        <w:t>中心，“两轴”为以振东东街、长陵线为通道形成的交通与产业复合联系轴，“三片区”为医药精深加工区、配套服务区、文旅康养区。</w:t>
      </w:r>
    </w:p>
    <w:p>
      <w:pPr>
        <w:pStyle w:val="2"/>
        <w:ind w:left="0" w:leftChars="0"/>
        <w:rPr>
          <w:rFonts w:hint="eastAsia"/>
        </w:rPr>
      </w:pPr>
      <w:r>
        <w:drawing>
          <wp:inline distT="0" distB="0" distL="0" distR="0">
            <wp:extent cx="5274310" cy="3547745"/>
            <wp:effectExtent l="0" t="0" r="2540" b="0"/>
            <wp:docPr id="933323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23497" name="图片 1"/>
                    <pic:cNvPicPr>
                      <a:picLocks noChangeAspect="1"/>
                    </pic:cNvPicPr>
                  </pic:nvPicPr>
                  <pic:blipFill>
                    <a:blip r:embed="rId9"/>
                    <a:stretch>
                      <a:fillRect/>
                    </a:stretch>
                  </pic:blipFill>
                  <pic:spPr>
                    <a:xfrm>
                      <a:off x="0" y="0"/>
                      <a:ext cx="5274310" cy="3547745"/>
                    </a:xfrm>
                    <a:prstGeom prst="rect">
                      <a:avLst/>
                    </a:prstGeom>
                  </pic:spPr>
                </pic:pic>
              </a:graphicData>
            </a:graphic>
          </wp:inline>
        </w:drawing>
      </w:r>
    </w:p>
    <w:p>
      <w:pPr>
        <w:ind w:firstLine="640"/>
      </w:pPr>
      <w:r>
        <w:rPr>
          <w:rFonts w:hint="eastAsia"/>
        </w:rPr>
        <w:t>确定先进装备制造业园功能结构为“一心两片区”，“一心”为</w:t>
      </w:r>
      <w:r>
        <w:rPr>
          <w:rFonts w:hint="eastAsia"/>
          <w:lang w:val="en-US" w:eastAsia="zh-CN"/>
        </w:rPr>
        <w:t>依托商务用地形成</w:t>
      </w:r>
      <w:r>
        <w:rPr>
          <w:rFonts w:hint="eastAsia"/>
        </w:rPr>
        <w:t>的</w:t>
      </w:r>
      <w:r>
        <w:rPr>
          <w:rFonts w:hint="eastAsia"/>
          <w:highlight w:val="none"/>
        </w:rPr>
        <w:t>综合服务</w:t>
      </w:r>
      <w:r>
        <w:rPr>
          <w:rFonts w:hint="eastAsia"/>
        </w:rPr>
        <w:t>中心，“两片区”为配套产业片区、先进装备制造产业片区。</w:t>
      </w:r>
    </w:p>
    <w:p>
      <w:pPr>
        <w:pStyle w:val="2"/>
        <w:ind w:left="0" w:leftChars="0"/>
        <w:rPr>
          <w:rFonts w:hint="eastAsia"/>
        </w:rPr>
      </w:pPr>
      <w:r>
        <w:drawing>
          <wp:inline distT="0" distB="0" distL="0" distR="0">
            <wp:extent cx="5274310" cy="3557905"/>
            <wp:effectExtent l="0" t="0" r="2540" b="4445"/>
            <wp:docPr id="2070811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1244" name="图片 1"/>
                    <pic:cNvPicPr>
                      <a:picLocks noChangeAspect="1"/>
                    </pic:cNvPicPr>
                  </pic:nvPicPr>
                  <pic:blipFill>
                    <a:blip r:embed="rId10"/>
                    <a:stretch>
                      <a:fillRect/>
                    </a:stretch>
                  </pic:blipFill>
                  <pic:spPr>
                    <a:xfrm>
                      <a:off x="0" y="0"/>
                      <a:ext cx="5274310" cy="3557905"/>
                    </a:xfrm>
                    <a:prstGeom prst="rect">
                      <a:avLst/>
                    </a:prstGeom>
                  </pic:spPr>
                </pic:pic>
              </a:graphicData>
            </a:graphic>
          </wp:inline>
        </w:drawing>
      </w:r>
    </w:p>
    <w:p>
      <w:pPr>
        <w:pStyle w:val="5"/>
        <w:pageBreakBefore w:val="0"/>
        <w:numPr>
          <w:ilvl w:val="0"/>
          <w:numId w:val="0"/>
        </w:numPr>
        <w:kinsoku/>
        <w:wordWrap/>
        <w:overflowPunct/>
        <w:topLinePunct w:val="0"/>
        <w:autoSpaceDE/>
        <w:autoSpaceDN/>
        <w:bidi w:val="0"/>
        <w:adjustRightInd w:val="0"/>
        <w:snapToGrid w:val="0"/>
        <w:spacing w:line="560" w:lineRule="exact"/>
        <w:ind w:left="720" w:leftChars="200" w:hanging="80" w:hangingChars="25"/>
        <w:textAlignment w:val="auto"/>
      </w:pPr>
      <w:r>
        <w:rPr>
          <w:rFonts w:hint="default" w:ascii="楷体_GB2312" w:hAnsi="微软雅黑" w:eastAsia="仿宋_GB2312" w:cstheme="minorBidi"/>
          <w:b/>
          <w:bCs/>
          <w:kern w:val="2"/>
          <w:sz w:val="32"/>
          <w:szCs w:val="32"/>
          <w:lang w:val="en-US" w:eastAsia="zh-CN" w:bidi="ar-SA"/>
        </w:rPr>
        <w:t>四、</w:t>
      </w:r>
      <w:r>
        <w:rPr>
          <w:rFonts w:hint="eastAsia"/>
        </w:rPr>
        <w:t>用地布局</w:t>
      </w:r>
    </w:p>
    <w:p>
      <w:pPr>
        <w:pageBreakBefore w:val="0"/>
        <w:kinsoku/>
        <w:wordWrap/>
        <w:overflowPunct/>
        <w:topLinePunct w:val="0"/>
        <w:autoSpaceDE/>
        <w:autoSpaceDN/>
        <w:bidi w:val="0"/>
        <w:adjustRightInd w:val="0"/>
        <w:snapToGrid w:val="0"/>
        <w:spacing w:line="560" w:lineRule="exact"/>
        <w:ind w:firstLine="640"/>
        <w:textAlignment w:val="auto"/>
      </w:pPr>
      <w:r>
        <w:rPr>
          <w:rFonts w:hint="eastAsia"/>
        </w:rPr>
        <w:t>（一）居住用地</w:t>
      </w:r>
    </w:p>
    <w:p>
      <w:pPr>
        <w:pageBreakBefore w:val="0"/>
        <w:kinsoku/>
        <w:wordWrap/>
        <w:overflowPunct/>
        <w:topLinePunct w:val="0"/>
        <w:autoSpaceDE/>
        <w:autoSpaceDN/>
        <w:bidi w:val="0"/>
        <w:adjustRightInd w:val="0"/>
        <w:snapToGrid w:val="0"/>
        <w:spacing w:line="560" w:lineRule="exact"/>
        <w:ind w:firstLine="640"/>
        <w:textAlignment w:val="auto"/>
      </w:pPr>
      <w:r>
        <w:rPr>
          <w:rFonts w:hint="eastAsia"/>
        </w:rPr>
        <w:t>二类城镇住宅用地分布于现代物流园与医药健康产业园，规划面积</w:t>
      </w:r>
      <w:r>
        <w:t>15.12</w:t>
      </w:r>
      <w:r>
        <w:rPr>
          <w:rFonts w:hint="eastAsia"/>
        </w:rPr>
        <w:t>公顷，占规划总面积的</w:t>
      </w:r>
      <w:r>
        <w:t>4.09%</w:t>
      </w:r>
      <w:r>
        <w:rPr>
          <w:rFonts w:hint="eastAsia"/>
        </w:rPr>
        <w:t>。其中现代物流园规划面积</w:t>
      </w:r>
      <w:r>
        <w:t>9.93公顷，占规划总面积的2.68%</w:t>
      </w:r>
      <w:r>
        <w:rPr>
          <w:rFonts w:hint="eastAsia"/>
        </w:rPr>
        <w:t>；医药健康产业园规划面积</w:t>
      </w:r>
      <w:r>
        <w:t>5.19公顷，占规划总面积的1.40%</w:t>
      </w:r>
    </w:p>
    <w:p>
      <w:pPr>
        <w:pageBreakBefore w:val="0"/>
        <w:kinsoku/>
        <w:wordWrap/>
        <w:overflowPunct/>
        <w:topLinePunct w:val="0"/>
        <w:autoSpaceDE/>
        <w:autoSpaceDN/>
        <w:bidi w:val="0"/>
        <w:adjustRightInd w:val="0"/>
        <w:snapToGrid w:val="0"/>
        <w:spacing w:line="560" w:lineRule="exact"/>
        <w:ind w:firstLine="640"/>
        <w:textAlignment w:val="auto"/>
      </w:pPr>
      <w:bookmarkStart w:id="2" w:name="_Toc4454"/>
      <w:r>
        <w:rPr>
          <w:rFonts w:hint="eastAsia"/>
        </w:rPr>
        <w:t>（二）公共管理与公共服务用地</w:t>
      </w:r>
      <w:bookmarkEnd w:id="2"/>
    </w:p>
    <w:p>
      <w:pPr>
        <w:pageBreakBefore w:val="0"/>
        <w:kinsoku/>
        <w:wordWrap/>
        <w:overflowPunct/>
        <w:topLinePunct w:val="0"/>
        <w:autoSpaceDE/>
        <w:autoSpaceDN/>
        <w:bidi w:val="0"/>
        <w:adjustRightInd w:val="0"/>
        <w:snapToGrid w:val="0"/>
        <w:spacing w:line="560" w:lineRule="exact"/>
        <w:ind w:firstLine="640"/>
        <w:textAlignment w:val="auto"/>
        <w:rPr>
          <w:rFonts w:hint="eastAsia"/>
        </w:rPr>
      </w:pPr>
      <w:r>
        <w:rPr>
          <w:rFonts w:hint="eastAsia"/>
        </w:rPr>
        <w:t>规划公共管理与公共服务用地分布于现代物流园、医药健康产业园，主要为机关团体用地与教育用地，规划面积</w:t>
      </w:r>
      <w:r>
        <w:t>5.62</w:t>
      </w:r>
      <w:r>
        <w:rPr>
          <w:rFonts w:hint="eastAsia"/>
        </w:rPr>
        <w:t>公顷，占规划总面积的</w:t>
      </w:r>
      <w:r>
        <w:t>1.52%</w:t>
      </w:r>
      <w:r>
        <w:rPr>
          <w:rFonts w:hint="eastAsia"/>
        </w:rPr>
        <w:t>。其中现代物流园规划面积2</w:t>
      </w:r>
      <w:r>
        <w:t>.20</w:t>
      </w:r>
      <w:r>
        <w:rPr>
          <w:rFonts w:hint="eastAsia"/>
        </w:rPr>
        <w:t>公顷，占规划总面积的0</w:t>
      </w:r>
      <w:r>
        <w:t>.59%</w:t>
      </w:r>
      <w:r>
        <w:rPr>
          <w:rFonts w:hint="eastAsia"/>
        </w:rPr>
        <w:t>；医药健康产业园规划面积3</w:t>
      </w:r>
      <w:r>
        <w:t>.42</w:t>
      </w:r>
      <w:r>
        <w:rPr>
          <w:rFonts w:hint="eastAsia"/>
        </w:rPr>
        <w:t>,公顷，占规划总面积的</w:t>
      </w:r>
      <w:r>
        <w:t>0.92%</w:t>
      </w:r>
      <w:r>
        <w:rPr>
          <w:rFonts w:hint="eastAsia"/>
        </w:rPr>
        <w:t>。</w:t>
      </w:r>
    </w:p>
    <w:p>
      <w:pPr>
        <w:pageBreakBefore w:val="0"/>
        <w:kinsoku/>
        <w:wordWrap/>
        <w:overflowPunct/>
        <w:topLinePunct w:val="0"/>
        <w:autoSpaceDE/>
        <w:autoSpaceDN/>
        <w:bidi w:val="0"/>
        <w:adjustRightInd w:val="0"/>
        <w:snapToGrid w:val="0"/>
        <w:spacing w:line="560" w:lineRule="exact"/>
        <w:ind w:firstLine="640"/>
        <w:textAlignment w:val="auto"/>
      </w:pPr>
      <w:bookmarkStart w:id="3" w:name="_Toc3779"/>
      <w:r>
        <w:rPr>
          <w:rFonts w:hint="eastAsia"/>
        </w:rPr>
        <w:t>（三）商业服务业用地</w:t>
      </w:r>
      <w:bookmarkEnd w:id="3"/>
    </w:p>
    <w:p>
      <w:pPr>
        <w:pageBreakBefore w:val="0"/>
        <w:kinsoku/>
        <w:wordWrap/>
        <w:overflowPunct/>
        <w:topLinePunct w:val="0"/>
        <w:autoSpaceDE/>
        <w:autoSpaceDN/>
        <w:bidi w:val="0"/>
        <w:adjustRightInd w:val="0"/>
        <w:snapToGrid w:val="0"/>
        <w:spacing w:line="560" w:lineRule="exact"/>
        <w:ind w:firstLine="640"/>
        <w:textAlignment w:val="auto"/>
      </w:pPr>
      <w:r>
        <w:rPr>
          <w:rFonts w:hint="eastAsia"/>
        </w:rPr>
        <w:t>规划商业服务业用地分布于三个园区内，用地面积</w:t>
      </w:r>
      <w:r>
        <w:t>100.11公顷，占规划总面积的27.05%</w:t>
      </w:r>
      <w:r>
        <w:rPr>
          <w:rFonts w:hint="eastAsia"/>
        </w:rPr>
        <w:t>。</w:t>
      </w:r>
      <w:r>
        <w:t>其中</w:t>
      </w:r>
      <w:r>
        <w:rPr>
          <w:rFonts w:hint="eastAsia"/>
        </w:rPr>
        <w:t>现代物流园商业服务业用地面积</w:t>
      </w:r>
      <w:r>
        <w:t>88.34公顷，占规划总面积的23.87%</w:t>
      </w:r>
      <w:r>
        <w:rPr>
          <w:rFonts w:hint="eastAsia"/>
        </w:rPr>
        <w:t>；医药健康产业园商业服务业用地面积</w:t>
      </w:r>
      <w:r>
        <w:t>7.65公顷，占规划总面积的2.07%</w:t>
      </w:r>
      <w:r>
        <w:rPr>
          <w:rFonts w:hint="eastAsia"/>
        </w:rPr>
        <w:t>；先进装备制造园商业服务业用地面积</w:t>
      </w:r>
      <w:r>
        <w:t>4.12公顷，占规划总面积的1.11%。</w:t>
      </w:r>
    </w:p>
    <w:p>
      <w:pPr>
        <w:pageBreakBefore w:val="0"/>
        <w:kinsoku/>
        <w:wordWrap/>
        <w:overflowPunct/>
        <w:topLinePunct w:val="0"/>
        <w:autoSpaceDE/>
        <w:autoSpaceDN/>
        <w:bidi w:val="0"/>
        <w:adjustRightInd w:val="0"/>
        <w:snapToGrid w:val="0"/>
        <w:spacing w:line="560" w:lineRule="exact"/>
        <w:ind w:firstLine="640"/>
        <w:textAlignment w:val="auto"/>
      </w:pPr>
      <w:bookmarkStart w:id="4" w:name="_Toc31758"/>
      <w:r>
        <w:rPr>
          <w:rFonts w:hint="eastAsia"/>
        </w:rPr>
        <w:t>（四）工业用地</w:t>
      </w:r>
      <w:bookmarkEnd w:id="4"/>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r>
        <w:rPr>
          <w:rFonts w:hint="eastAsia"/>
        </w:rPr>
        <w:t>规划工业用地分布三个园区内，用地面积</w:t>
      </w:r>
      <w:r>
        <w:t>145.58公顷，占规划总面积的39.34%。</w:t>
      </w:r>
      <w:r>
        <w:rPr>
          <w:rFonts w:hint="eastAsia"/>
        </w:rPr>
        <w:t>其中现代物流园内布局工业用地面积</w:t>
      </w:r>
      <w:r>
        <w:t>15.81公顷，占规划总面积的4.27%</w:t>
      </w:r>
      <w:r>
        <w:rPr>
          <w:rFonts w:hint="eastAsia"/>
        </w:rPr>
        <w:t>；医药健康产业园内布局工业用地面积</w:t>
      </w:r>
      <w:r>
        <w:t>44.76公顷，占规划总面积的12.09%</w:t>
      </w:r>
      <w:r>
        <w:rPr>
          <w:rFonts w:hint="eastAsia"/>
        </w:rPr>
        <w:t>；先进装备制造园内布局工业用地面积</w:t>
      </w:r>
      <w:r>
        <w:t>85.01公顷，占规划总面积的22.97%。</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bookmarkStart w:id="5" w:name="_Toc28634"/>
      <w:r>
        <w:rPr>
          <w:rFonts w:hint="eastAsia"/>
        </w:rPr>
        <w:t>（五）物流仓储用地</w:t>
      </w:r>
      <w:bookmarkEnd w:id="5"/>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r>
        <w:rPr>
          <w:rFonts w:hint="eastAsia"/>
        </w:rPr>
        <w:t>开发区规划物流仓储用地集中于现代物流园内，用地面积</w:t>
      </w:r>
      <w:r>
        <w:t>19.76公顷，占规划总面积的5.34%。</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r>
        <w:rPr>
          <w:rFonts w:hint="eastAsia"/>
        </w:rPr>
        <w:t>（六）道路与交通设施用地</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rPr>
      </w:pPr>
      <w:r>
        <w:rPr>
          <w:rFonts w:hint="eastAsia"/>
        </w:rPr>
        <w:t>规划道路与交通设施用地分布于三个园区内，用地面积</w:t>
      </w:r>
      <w:r>
        <w:t>58.41公顷，占规划总面积的15.78%。</w:t>
      </w:r>
      <w:r>
        <w:rPr>
          <w:rFonts w:hint="eastAsia"/>
        </w:rPr>
        <w:t>其中现代物流园规划道路与交通设施用地面积3</w:t>
      </w:r>
      <w:r>
        <w:t>4.32</w:t>
      </w:r>
      <w:r>
        <w:rPr>
          <w:rFonts w:hint="eastAsia"/>
        </w:rPr>
        <w:t>公顷，</w:t>
      </w:r>
      <w:r>
        <w:t>占规划总面积的</w:t>
      </w:r>
      <w:r>
        <w:rPr>
          <w:rFonts w:hint="eastAsia"/>
        </w:rPr>
        <w:t>9</w:t>
      </w:r>
      <w:r>
        <w:t>.28%</w:t>
      </w:r>
      <w:r>
        <w:rPr>
          <w:rFonts w:hint="eastAsia"/>
        </w:rPr>
        <w:t>；医药健康产业园规划道路与交通设施用地面积1</w:t>
      </w:r>
      <w:r>
        <w:t>3.03</w:t>
      </w:r>
      <w:r>
        <w:rPr>
          <w:rFonts w:hint="eastAsia"/>
        </w:rPr>
        <w:t>公顷，</w:t>
      </w:r>
      <w:r>
        <w:t>占规划总面积的3.52%</w:t>
      </w:r>
      <w:r>
        <w:rPr>
          <w:rFonts w:hint="eastAsia"/>
        </w:rPr>
        <w:t>；先进装备制造园规划道路与交通设施用地面积1</w:t>
      </w:r>
      <w:r>
        <w:t>1.05</w:t>
      </w:r>
      <w:r>
        <w:rPr>
          <w:rFonts w:hint="eastAsia"/>
        </w:rPr>
        <w:t>公顷，</w:t>
      </w:r>
      <w:r>
        <w:t>占规划总面积的2.99%</w:t>
      </w:r>
      <w:r>
        <w:rPr>
          <w:rFonts w:hint="eastAsia"/>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r>
        <w:rPr>
          <w:rFonts w:hint="eastAsia"/>
        </w:rPr>
        <w:t>（七）公用设施用地</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r>
        <w:rPr>
          <w:rFonts w:hint="eastAsia"/>
        </w:rPr>
        <w:t>开发区规划公用设施用地分布于现代物流园、先进装备制造园内，用地面积</w:t>
      </w:r>
      <w:r>
        <w:t>7.84公顷，占规划总面积的2.12%。</w:t>
      </w:r>
      <w:r>
        <w:rPr>
          <w:rFonts w:hint="eastAsia"/>
        </w:rPr>
        <w:t>其中现代物流园规划公用设施用地面积</w:t>
      </w:r>
      <w:r>
        <w:t>4.67</w:t>
      </w:r>
      <w:r>
        <w:rPr>
          <w:rFonts w:hint="eastAsia"/>
        </w:rPr>
        <w:t>公顷，</w:t>
      </w:r>
      <w:r>
        <w:t>占规划总面积的1.26%</w:t>
      </w:r>
      <w:r>
        <w:rPr>
          <w:rFonts w:hint="eastAsia"/>
        </w:rPr>
        <w:t>；先进装备制造园规划公用设施用地面积</w:t>
      </w:r>
      <w:r>
        <w:t>3.17</w:t>
      </w:r>
      <w:r>
        <w:rPr>
          <w:rFonts w:hint="eastAsia"/>
        </w:rPr>
        <w:t>公顷，</w:t>
      </w:r>
      <w:r>
        <w:t>占规划总面积的0.86%</w:t>
      </w:r>
      <w:r>
        <w:rPr>
          <w:rFonts w:hint="eastAsia"/>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r>
        <w:rPr>
          <w:rFonts w:hint="eastAsia"/>
        </w:rPr>
        <w:t>（八）绿地与开敞空间用地</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r>
        <w:rPr>
          <w:rFonts w:hint="eastAsia"/>
        </w:rPr>
        <w:t>规划绿地与开敞空间用地分布三个园区内，用地面积</w:t>
      </w:r>
      <w:r>
        <w:t>14.29公顷，占规划总面积的3.86%</w:t>
      </w:r>
      <w:r>
        <w:rPr>
          <w:rFonts w:hint="eastAsia"/>
        </w:rPr>
        <w:t>。其中现代物流园规划绿地与开敞空间用地面积</w:t>
      </w:r>
      <w:r>
        <w:t>1.87</w:t>
      </w:r>
      <w:r>
        <w:rPr>
          <w:rFonts w:hint="eastAsia"/>
        </w:rPr>
        <w:t>公顷，</w:t>
      </w:r>
      <w:r>
        <w:t>占规划总面积的0.50%</w:t>
      </w:r>
      <w:r>
        <w:rPr>
          <w:rFonts w:hint="eastAsia"/>
        </w:rPr>
        <w:t>；医药健康产业园规划绿地与开敞空间用地面积</w:t>
      </w:r>
      <w:r>
        <w:t>8.62</w:t>
      </w:r>
      <w:r>
        <w:rPr>
          <w:rFonts w:hint="eastAsia"/>
        </w:rPr>
        <w:t>公顷，</w:t>
      </w:r>
      <w:r>
        <w:t>占规划总面积的2.33%</w:t>
      </w:r>
      <w:r>
        <w:rPr>
          <w:rFonts w:hint="eastAsia"/>
        </w:rPr>
        <w:t>；先进装备制造园规划绿地与开敞空间用地面积</w:t>
      </w:r>
      <w:r>
        <w:t>3.81</w:t>
      </w:r>
      <w:r>
        <w:rPr>
          <w:rFonts w:hint="eastAsia"/>
        </w:rPr>
        <w:t>公顷，</w:t>
      </w:r>
      <w:r>
        <w:t>占规划总面积的1.03%</w:t>
      </w:r>
      <w:r>
        <w:rPr>
          <w:rFonts w:hint="eastAsia"/>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r>
        <w:rPr>
          <w:rFonts w:hint="eastAsia"/>
        </w:rPr>
        <w:t>（九）留白用地</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pPr>
      <w:r>
        <w:rPr>
          <w:rFonts w:hint="eastAsia"/>
        </w:rPr>
        <w:t>开发区规划物流仓储用地集中于医药健康产业园内，用地面积</w:t>
      </w:r>
      <w:r>
        <w:t>3.41公顷，占规划总面积的0.09%。</w:t>
      </w:r>
    </w:p>
    <w:p>
      <w:pPr>
        <w:pStyle w:val="2"/>
        <w:ind w:left="419" w:leftChars="131"/>
        <w:rPr>
          <w:rFonts w:hint="eastAsia"/>
        </w:rPr>
      </w:pPr>
      <w:r>
        <w:drawing>
          <wp:inline distT="0" distB="0" distL="0" distR="0">
            <wp:extent cx="5274310" cy="3730625"/>
            <wp:effectExtent l="0" t="0" r="2540" b="3175"/>
            <wp:docPr id="9491626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62639"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730625"/>
                    </a:xfrm>
                    <a:prstGeom prst="rect">
                      <a:avLst/>
                    </a:prstGeom>
                    <a:noFill/>
                    <a:ln>
                      <a:noFill/>
                    </a:ln>
                  </pic:spPr>
                </pic:pic>
              </a:graphicData>
            </a:graphic>
          </wp:inline>
        </w:drawing>
      </w:r>
    </w:p>
    <w:p>
      <w:pPr>
        <w:pStyle w:val="2"/>
        <w:ind w:left="0" w:leftChars="0"/>
      </w:pPr>
      <w:bookmarkStart w:id="6" w:name="_GoBack"/>
      <w:r>
        <w:drawing>
          <wp:inline distT="0" distB="0" distL="0" distR="0">
            <wp:extent cx="5274310" cy="3731895"/>
            <wp:effectExtent l="0" t="0" r="2540" b="1905"/>
            <wp:docPr id="14366381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3817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731895"/>
                    </a:xfrm>
                    <a:prstGeom prst="rect">
                      <a:avLst/>
                    </a:prstGeom>
                    <a:noFill/>
                    <a:ln>
                      <a:noFill/>
                    </a:ln>
                  </pic:spPr>
                </pic:pic>
              </a:graphicData>
            </a:graphic>
          </wp:inline>
        </w:drawing>
      </w:r>
      <w:bookmarkEnd w:id="6"/>
      <w:r>
        <w:drawing>
          <wp:inline distT="0" distB="0" distL="0" distR="0">
            <wp:extent cx="5274310" cy="3731895"/>
            <wp:effectExtent l="0" t="0" r="2540" b="1905"/>
            <wp:docPr id="5552295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2950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731895"/>
                    </a:xfrm>
                    <a:prstGeom prst="rect">
                      <a:avLst/>
                    </a:prstGeom>
                    <a:noFill/>
                    <a:ln>
                      <a:noFill/>
                    </a:ln>
                  </pic:spPr>
                </pic:pic>
              </a:graphicData>
            </a:graphic>
          </wp:inline>
        </w:drawing>
      </w:r>
    </w:p>
    <w:p>
      <w:pPr>
        <w:pStyle w:val="5"/>
        <w:numPr>
          <w:ilvl w:val="0"/>
          <w:numId w:val="0"/>
        </w:numPr>
        <w:ind w:left="720" w:leftChars="200" w:hanging="80" w:hangingChars="25"/>
      </w:pPr>
      <w:r>
        <w:rPr>
          <w:rFonts w:hint="default" w:ascii="楷体_GB2312" w:hAnsi="微软雅黑" w:eastAsia="仿宋_GB2312" w:cstheme="minorBidi"/>
          <w:b/>
          <w:bCs/>
          <w:kern w:val="2"/>
          <w:sz w:val="32"/>
          <w:szCs w:val="32"/>
          <w:lang w:val="en-US" w:eastAsia="zh-CN" w:bidi="ar-SA"/>
        </w:rPr>
        <w:t>五、</w:t>
      </w:r>
      <w:r>
        <w:rPr>
          <w:rFonts w:hint="eastAsia"/>
        </w:rPr>
        <w:t>公示期为</w:t>
      </w:r>
      <w:r>
        <w:t>30个工作日。</w:t>
      </w:r>
    </w:p>
    <w:p>
      <w:pPr>
        <w:pStyle w:val="5"/>
        <w:numPr>
          <w:ilvl w:val="0"/>
          <w:numId w:val="0"/>
        </w:numPr>
        <w:ind w:left="720" w:leftChars="200" w:hanging="80" w:hangingChars="25"/>
      </w:pPr>
      <w:r>
        <w:rPr>
          <w:rFonts w:hint="default" w:ascii="楷体_GB2312" w:hAnsi="微软雅黑" w:eastAsia="仿宋_GB2312" w:cstheme="minorBidi"/>
          <w:b/>
          <w:bCs/>
          <w:kern w:val="2"/>
          <w:sz w:val="32"/>
          <w:szCs w:val="32"/>
          <w:lang w:val="en-US" w:eastAsia="zh-CN" w:bidi="ar-SA"/>
        </w:rPr>
        <w:t>六、</w:t>
      </w:r>
      <w:r>
        <w:rPr>
          <w:rFonts w:hint="eastAsia"/>
        </w:rPr>
        <w:t>联系人</w:t>
      </w:r>
    </w:p>
    <w:p>
      <w:pPr>
        <w:ind w:firstLine="640"/>
      </w:pPr>
      <w:r>
        <w:rPr>
          <w:rFonts w:hint="eastAsia"/>
        </w:rPr>
        <w:t>上党经济技术开发区管理委员会</w:t>
      </w:r>
    </w:p>
    <w:p>
      <w:pPr>
        <w:ind w:firstLine="640"/>
        <w:rPr>
          <w:rFonts w:hint="eastAsia"/>
        </w:rPr>
      </w:pPr>
      <w:r>
        <w:rPr>
          <w:rFonts w:hint="eastAsia"/>
        </w:rPr>
        <w:t xml:space="preserve">山西省城乡规划设计研究院 侯潇 </w:t>
      </w:r>
      <w:r>
        <w:t>13653415050</w:t>
      </w:r>
    </w:p>
    <w:sectPr>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B51FA9"/>
    <w:multiLevelType w:val="multilevel"/>
    <w:tmpl w:val="40B51FA9"/>
    <w:lvl w:ilvl="0" w:tentative="0">
      <w:start w:val="1"/>
      <w:numFmt w:val="chineseCountingThousand"/>
      <w:pStyle w:val="3"/>
      <w:lvlText w:val="第%1章"/>
      <w:lvlJc w:val="left"/>
      <w:pPr>
        <w:ind w:left="880" w:hanging="440"/>
      </w:pPr>
      <w:rPr>
        <w:rFonts w:hint="eastAsia"/>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
    <w:nsid w:val="4BD31F85"/>
    <w:multiLevelType w:val="multilevel"/>
    <w:tmpl w:val="4BD31F85"/>
    <w:lvl w:ilvl="0" w:tentative="0">
      <w:start w:val="1"/>
      <w:numFmt w:val="decimal"/>
      <w:pStyle w:val="5"/>
      <w:lvlText w:val="第%1条"/>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
    <w:nsid w:val="73D62173"/>
    <w:multiLevelType w:val="multilevel"/>
    <w:tmpl w:val="73D62173"/>
    <w:lvl w:ilvl="0" w:tentative="0">
      <w:start w:val="1"/>
      <w:numFmt w:val="chineseCountingThousand"/>
      <w:pStyle w:val="4"/>
      <w:lvlText w:val="第%1节"/>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mN2YyNmY1NWQ2MGYwOWZhODljYzdlMDA2MTBjMzMifQ=="/>
  </w:docVars>
  <w:rsids>
    <w:rsidRoot w:val="006C10EB"/>
    <w:rsid w:val="0000485F"/>
    <w:rsid w:val="00010A06"/>
    <w:rsid w:val="00010D59"/>
    <w:rsid w:val="0001143D"/>
    <w:rsid w:val="0001262F"/>
    <w:rsid w:val="00013746"/>
    <w:rsid w:val="00017394"/>
    <w:rsid w:val="0002190B"/>
    <w:rsid w:val="00023B49"/>
    <w:rsid w:val="000242D6"/>
    <w:rsid w:val="00025D00"/>
    <w:rsid w:val="00026EC3"/>
    <w:rsid w:val="00027C61"/>
    <w:rsid w:val="00031543"/>
    <w:rsid w:val="0003180D"/>
    <w:rsid w:val="00031B6C"/>
    <w:rsid w:val="00037AE7"/>
    <w:rsid w:val="000405E3"/>
    <w:rsid w:val="00042EA1"/>
    <w:rsid w:val="00044FC0"/>
    <w:rsid w:val="00045234"/>
    <w:rsid w:val="0004723D"/>
    <w:rsid w:val="0004742D"/>
    <w:rsid w:val="0005205B"/>
    <w:rsid w:val="0005332F"/>
    <w:rsid w:val="00054F1D"/>
    <w:rsid w:val="000572FA"/>
    <w:rsid w:val="00062B31"/>
    <w:rsid w:val="000645B9"/>
    <w:rsid w:val="00065B32"/>
    <w:rsid w:val="00080777"/>
    <w:rsid w:val="00081C59"/>
    <w:rsid w:val="000861F2"/>
    <w:rsid w:val="00097D8B"/>
    <w:rsid w:val="000A0D3B"/>
    <w:rsid w:val="000A2FEF"/>
    <w:rsid w:val="000A605A"/>
    <w:rsid w:val="000A7C33"/>
    <w:rsid w:val="000B07A1"/>
    <w:rsid w:val="000B2AAB"/>
    <w:rsid w:val="000B418E"/>
    <w:rsid w:val="000B77C8"/>
    <w:rsid w:val="000C36B5"/>
    <w:rsid w:val="000C6C17"/>
    <w:rsid w:val="000D0B23"/>
    <w:rsid w:val="000D4EEE"/>
    <w:rsid w:val="000D567A"/>
    <w:rsid w:val="000E0AC0"/>
    <w:rsid w:val="000E0D2E"/>
    <w:rsid w:val="000E24C9"/>
    <w:rsid w:val="000E625E"/>
    <w:rsid w:val="000E6FDB"/>
    <w:rsid w:val="000E799C"/>
    <w:rsid w:val="000F157D"/>
    <w:rsid w:val="000F1A35"/>
    <w:rsid w:val="000F40DA"/>
    <w:rsid w:val="000F59FB"/>
    <w:rsid w:val="000F7E6D"/>
    <w:rsid w:val="001018E6"/>
    <w:rsid w:val="00102BCD"/>
    <w:rsid w:val="00103DF6"/>
    <w:rsid w:val="00112137"/>
    <w:rsid w:val="001160CF"/>
    <w:rsid w:val="00121660"/>
    <w:rsid w:val="00123329"/>
    <w:rsid w:val="001236D9"/>
    <w:rsid w:val="001361FC"/>
    <w:rsid w:val="001370E6"/>
    <w:rsid w:val="00141347"/>
    <w:rsid w:val="00143064"/>
    <w:rsid w:val="00155DE7"/>
    <w:rsid w:val="001571FA"/>
    <w:rsid w:val="0016153F"/>
    <w:rsid w:val="001645FF"/>
    <w:rsid w:val="00164D20"/>
    <w:rsid w:val="00172771"/>
    <w:rsid w:val="001735AA"/>
    <w:rsid w:val="0017491E"/>
    <w:rsid w:val="00175416"/>
    <w:rsid w:val="001762E5"/>
    <w:rsid w:val="0018560D"/>
    <w:rsid w:val="0019054F"/>
    <w:rsid w:val="00191700"/>
    <w:rsid w:val="00194407"/>
    <w:rsid w:val="00194F80"/>
    <w:rsid w:val="00195F96"/>
    <w:rsid w:val="00196A2D"/>
    <w:rsid w:val="001A001A"/>
    <w:rsid w:val="001A3C46"/>
    <w:rsid w:val="001A4FAB"/>
    <w:rsid w:val="001B0ADC"/>
    <w:rsid w:val="001B29FD"/>
    <w:rsid w:val="001B37B2"/>
    <w:rsid w:val="001B3C61"/>
    <w:rsid w:val="001C58C3"/>
    <w:rsid w:val="001C5B9B"/>
    <w:rsid w:val="001C5E96"/>
    <w:rsid w:val="001C75F8"/>
    <w:rsid w:val="001E099F"/>
    <w:rsid w:val="001E2029"/>
    <w:rsid w:val="001E3BAC"/>
    <w:rsid w:val="001E785C"/>
    <w:rsid w:val="001E7C3B"/>
    <w:rsid w:val="001F0B7B"/>
    <w:rsid w:val="001F36C4"/>
    <w:rsid w:val="002033FE"/>
    <w:rsid w:val="00205104"/>
    <w:rsid w:val="00205774"/>
    <w:rsid w:val="00207091"/>
    <w:rsid w:val="002120E1"/>
    <w:rsid w:val="00217DCA"/>
    <w:rsid w:val="002222DB"/>
    <w:rsid w:val="00223DBF"/>
    <w:rsid w:val="00231C76"/>
    <w:rsid w:val="002329B7"/>
    <w:rsid w:val="002334A7"/>
    <w:rsid w:val="00233CFA"/>
    <w:rsid w:val="002344C7"/>
    <w:rsid w:val="00240B82"/>
    <w:rsid w:val="002445C3"/>
    <w:rsid w:val="00247271"/>
    <w:rsid w:val="00251B03"/>
    <w:rsid w:val="00251F20"/>
    <w:rsid w:val="002571CA"/>
    <w:rsid w:val="00257A21"/>
    <w:rsid w:val="00260643"/>
    <w:rsid w:val="00264345"/>
    <w:rsid w:val="0026452B"/>
    <w:rsid w:val="00267DB5"/>
    <w:rsid w:val="00271EA5"/>
    <w:rsid w:val="0027280C"/>
    <w:rsid w:val="00283112"/>
    <w:rsid w:val="00283BD2"/>
    <w:rsid w:val="00286D0B"/>
    <w:rsid w:val="00287662"/>
    <w:rsid w:val="002879F4"/>
    <w:rsid w:val="00292EFB"/>
    <w:rsid w:val="00294FCC"/>
    <w:rsid w:val="00296B8B"/>
    <w:rsid w:val="002A058F"/>
    <w:rsid w:val="002A1BC0"/>
    <w:rsid w:val="002A3219"/>
    <w:rsid w:val="002A4069"/>
    <w:rsid w:val="002A65D4"/>
    <w:rsid w:val="002A7B12"/>
    <w:rsid w:val="002B202A"/>
    <w:rsid w:val="002C3836"/>
    <w:rsid w:val="002C384A"/>
    <w:rsid w:val="002C38C6"/>
    <w:rsid w:val="002C4803"/>
    <w:rsid w:val="002C558F"/>
    <w:rsid w:val="002C7131"/>
    <w:rsid w:val="002E0C48"/>
    <w:rsid w:val="002E50F0"/>
    <w:rsid w:val="002E77C5"/>
    <w:rsid w:val="002E78E0"/>
    <w:rsid w:val="002F019E"/>
    <w:rsid w:val="002F22EF"/>
    <w:rsid w:val="002F4CA2"/>
    <w:rsid w:val="002F6E5E"/>
    <w:rsid w:val="0030457A"/>
    <w:rsid w:val="00310813"/>
    <w:rsid w:val="0031193B"/>
    <w:rsid w:val="0032313D"/>
    <w:rsid w:val="00326DF3"/>
    <w:rsid w:val="003330A5"/>
    <w:rsid w:val="00336036"/>
    <w:rsid w:val="00337793"/>
    <w:rsid w:val="0034058E"/>
    <w:rsid w:val="00342C5A"/>
    <w:rsid w:val="00344353"/>
    <w:rsid w:val="00345196"/>
    <w:rsid w:val="003462C9"/>
    <w:rsid w:val="00350BE1"/>
    <w:rsid w:val="0035333B"/>
    <w:rsid w:val="00353702"/>
    <w:rsid w:val="003547DB"/>
    <w:rsid w:val="0035566C"/>
    <w:rsid w:val="00362260"/>
    <w:rsid w:val="0036291D"/>
    <w:rsid w:val="0036502A"/>
    <w:rsid w:val="0036672D"/>
    <w:rsid w:val="003667DE"/>
    <w:rsid w:val="00370A6E"/>
    <w:rsid w:val="00375B4A"/>
    <w:rsid w:val="00377F56"/>
    <w:rsid w:val="003821B2"/>
    <w:rsid w:val="00382757"/>
    <w:rsid w:val="003840A4"/>
    <w:rsid w:val="003865C0"/>
    <w:rsid w:val="003914C0"/>
    <w:rsid w:val="003927EA"/>
    <w:rsid w:val="003A146E"/>
    <w:rsid w:val="003A7F3B"/>
    <w:rsid w:val="003B04B9"/>
    <w:rsid w:val="003B308F"/>
    <w:rsid w:val="003B540A"/>
    <w:rsid w:val="003B69C3"/>
    <w:rsid w:val="003B73A7"/>
    <w:rsid w:val="003C1D61"/>
    <w:rsid w:val="003C442A"/>
    <w:rsid w:val="003D328B"/>
    <w:rsid w:val="003D4220"/>
    <w:rsid w:val="003D59A4"/>
    <w:rsid w:val="003D62E6"/>
    <w:rsid w:val="003D70B3"/>
    <w:rsid w:val="003E1E2E"/>
    <w:rsid w:val="003E2EC0"/>
    <w:rsid w:val="003E5AE5"/>
    <w:rsid w:val="003F16DA"/>
    <w:rsid w:val="0040058C"/>
    <w:rsid w:val="0040076D"/>
    <w:rsid w:val="00400F3E"/>
    <w:rsid w:val="00401038"/>
    <w:rsid w:val="00401468"/>
    <w:rsid w:val="00403F5E"/>
    <w:rsid w:val="004052D4"/>
    <w:rsid w:val="00412621"/>
    <w:rsid w:val="00412796"/>
    <w:rsid w:val="00415C5C"/>
    <w:rsid w:val="00416B74"/>
    <w:rsid w:val="0041735B"/>
    <w:rsid w:val="00423E44"/>
    <w:rsid w:val="00425852"/>
    <w:rsid w:val="00430A29"/>
    <w:rsid w:val="00433790"/>
    <w:rsid w:val="00434DF5"/>
    <w:rsid w:val="00436A47"/>
    <w:rsid w:val="0043737D"/>
    <w:rsid w:val="00437679"/>
    <w:rsid w:val="00442EA8"/>
    <w:rsid w:val="00443F49"/>
    <w:rsid w:val="00445118"/>
    <w:rsid w:val="00445FEC"/>
    <w:rsid w:val="00453FAD"/>
    <w:rsid w:val="004549E6"/>
    <w:rsid w:val="004563FE"/>
    <w:rsid w:val="00456617"/>
    <w:rsid w:val="00461358"/>
    <w:rsid w:val="00463089"/>
    <w:rsid w:val="00463451"/>
    <w:rsid w:val="00463D7B"/>
    <w:rsid w:val="00467499"/>
    <w:rsid w:val="00473C33"/>
    <w:rsid w:val="00474571"/>
    <w:rsid w:val="00474793"/>
    <w:rsid w:val="00483DA5"/>
    <w:rsid w:val="00491321"/>
    <w:rsid w:val="00491E27"/>
    <w:rsid w:val="004937B9"/>
    <w:rsid w:val="00495FC7"/>
    <w:rsid w:val="004A46E6"/>
    <w:rsid w:val="004A6E39"/>
    <w:rsid w:val="004B1B36"/>
    <w:rsid w:val="004B1F86"/>
    <w:rsid w:val="004B558D"/>
    <w:rsid w:val="004B60EB"/>
    <w:rsid w:val="004B6743"/>
    <w:rsid w:val="004B7019"/>
    <w:rsid w:val="004B7CBD"/>
    <w:rsid w:val="004C0572"/>
    <w:rsid w:val="004C3F51"/>
    <w:rsid w:val="004C49EB"/>
    <w:rsid w:val="004C601B"/>
    <w:rsid w:val="004D1FEA"/>
    <w:rsid w:val="004D5F27"/>
    <w:rsid w:val="004D7222"/>
    <w:rsid w:val="004D78CD"/>
    <w:rsid w:val="004E6B0A"/>
    <w:rsid w:val="004F1311"/>
    <w:rsid w:val="00503120"/>
    <w:rsid w:val="00505A68"/>
    <w:rsid w:val="005065C9"/>
    <w:rsid w:val="00510A1F"/>
    <w:rsid w:val="00511CD0"/>
    <w:rsid w:val="005120E7"/>
    <w:rsid w:val="00516301"/>
    <w:rsid w:val="00516CD1"/>
    <w:rsid w:val="00517843"/>
    <w:rsid w:val="00521233"/>
    <w:rsid w:val="00526DAC"/>
    <w:rsid w:val="005344FE"/>
    <w:rsid w:val="00535149"/>
    <w:rsid w:val="00540792"/>
    <w:rsid w:val="00542164"/>
    <w:rsid w:val="00542D1B"/>
    <w:rsid w:val="00547C25"/>
    <w:rsid w:val="00552A5E"/>
    <w:rsid w:val="00561823"/>
    <w:rsid w:val="00564368"/>
    <w:rsid w:val="0057571E"/>
    <w:rsid w:val="0059225D"/>
    <w:rsid w:val="00592C8E"/>
    <w:rsid w:val="00592DEB"/>
    <w:rsid w:val="0059631C"/>
    <w:rsid w:val="005973EE"/>
    <w:rsid w:val="005A02FA"/>
    <w:rsid w:val="005B29A7"/>
    <w:rsid w:val="005B6CAD"/>
    <w:rsid w:val="005B6FB8"/>
    <w:rsid w:val="005C275D"/>
    <w:rsid w:val="005C3E9E"/>
    <w:rsid w:val="005C4A90"/>
    <w:rsid w:val="005C752C"/>
    <w:rsid w:val="005D191E"/>
    <w:rsid w:val="005D57B2"/>
    <w:rsid w:val="005E26E2"/>
    <w:rsid w:val="005E5727"/>
    <w:rsid w:val="005F1238"/>
    <w:rsid w:val="005F28CF"/>
    <w:rsid w:val="005F3183"/>
    <w:rsid w:val="005F3B62"/>
    <w:rsid w:val="005F3FB9"/>
    <w:rsid w:val="005F5BEF"/>
    <w:rsid w:val="005F7117"/>
    <w:rsid w:val="00600796"/>
    <w:rsid w:val="00601D03"/>
    <w:rsid w:val="00601F98"/>
    <w:rsid w:val="00602CA6"/>
    <w:rsid w:val="006038AD"/>
    <w:rsid w:val="00605331"/>
    <w:rsid w:val="0060536E"/>
    <w:rsid w:val="00611182"/>
    <w:rsid w:val="00612C72"/>
    <w:rsid w:val="006132F9"/>
    <w:rsid w:val="006166B4"/>
    <w:rsid w:val="0062208E"/>
    <w:rsid w:val="006228BC"/>
    <w:rsid w:val="00622F47"/>
    <w:rsid w:val="006240EC"/>
    <w:rsid w:val="00627364"/>
    <w:rsid w:val="0063009F"/>
    <w:rsid w:val="00631C89"/>
    <w:rsid w:val="00632CF2"/>
    <w:rsid w:val="0064095D"/>
    <w:rsid w:val="00644474"/>
    <w:rsid w:val="00644BC2"/>
    <w:rsid w:val="00646CA4"/>
    <w:rsid w:val="00647099"/>
    <w:rsid w:val="006504CF"/>
    <w:rsid w:val="00655981"/>
    <w:rsid w:val="00670D28"/>
    <w:rsid w:val="0067417E"/>
    <w:rsid w:val="0067787E"/>
    <w:rsid w:val="00682657"/>
    <w:rsid w:val="00682DB5"/>
    <w:rsid w:val="00691037"/>
    <w:rsid w:val="0069376F"/>
    <w:rsid w:val="00695492"/>
    <w:rsid w:val="00695973"/>
    <w:rsid w:val="00697770"/>
    <w:rsid w:val="006A0F3A"/>
    <w:rsid w:val="006A6BB6"/>
    <w:rsid w:val="006A738C"/>
    <w:rsid w:val="006A7716"/>
    <w:rsid w:val="006A7CFA"/>
    <w:rsid w:val="006B371F"/>
    <w:rsid w:val="006B39DF"/>
    <w:rsid w:val="006C10EB"/>
    <w:rsid w:val="006C6066"/>
    <w:rsid w:val="006E1404"/>
    <w:rsid w:val="006E30DF"/>
    <w:rsid w:val="006E3F61"/>
    <w:rsid w:val="006E5045"/>
    <w:rsid w:val="006E5ED9"/>
    <w:rsid w:val="006F05B5"/>
    <w:rsid w:val="006F1D9F"/>
    <w:rsid w:val="006F6EC6"/>
    <w:rsid w:val="007034CF"/>
    <w:rsid w:val="00703C10"/>
    <w:rsid w:val="00707560"/>
    <w:rsid w:val="00713234"/>
    <w:rsid w:val="007138BA"/>
    <w:rsid w:val="00714651"/>
    <w:rsid w:val="00714F56"/>
    <w:rsid w:val="007150AA"/>
    <w:rsid w:val="007209DE"/>
    <w:rsid w:val="00720E6A"/>
    <w:rsid w:val="007233CA"/>
    <w:rsid w:val="007235F8"/>
    <w:rsid w:val="0072656D"/>
    <w:rsid w:val="00734FC6"/>
    <w:rsid w:val="007360B8"/>
    <w:rsid w:val="00736CB7"/>
    <w:rsid w:val="00740088"/>
    <w:rsid w:val="00740C67"/>
    <w:rsid w:val="00740DF8"/>
    <w:rsid w:val="00743489"/>
    <w:rsid w:val="0074514F"/>
    <w:rsid w:val="00745419"/>
    <w:rsid w:val="00754CAD"/>
    <w:rsid w:val="00755E18"/>
    <w:rsid w:val="00756F7E"/>
    <w:rsid w:val="00757EBF"/>
    <w:rsid w:val="0076124B"/>
    <w:rsid w:val="00762FAE"/>
    <w:rsid w:val="0076698D"/>
    <w:rsid w:val="00772008"/>
    <w:rsid w:val="00772B54"/>
    <w:rsid w:val="00773F69"/>
    <w:rsid w:val="00775679"/>
    <w:rsid w:val="00777A90"/>
    <w:rsid w:val="00782696"/>
    <w:rsid w:val="00783A5D"/>
    <w:rsid w:val="0078401F"/>
    <w:rsid w:val="007840D2"/>
    <w:rsid w:val="0078683F"/>
    <w:rsid w:val="00794FDA"/>
    <w:rsid w:val="00797F19"/>
    <w:rsid w:val="007A0608"/>
    <w:rsid w:val="007A46AC"/>
    <w:rsid w:val="007A5478"/>
    <w:rsid w:val="007A5E97"/>
    <w:rsid w:val="007A6E8B"/>
    <w:rsid w:val="007B1111"/>
    <w:rsid w:val="007B17E4"/>
    <w:rsid w:val="007B363C"/>
    <w:rsid w:val="007B68DF"/>
    <w:rsid w:val="007B778C"/>
    <w:rsid w:val="007C3660"/>
    <w:rsid w:val="007C777C"/>
    <w:rsid w:val="007D17FC"/>
    <w:rsid w:val="007D27BC"/>
    <w:rsid w:val="007D3488"/>
    <w:rsid w:val="007D618F"/>
    <w:rsid w:val="007D6A8E"/>
    <w:rsid w:val="007D755E"/>
    <w:rsid w:val="007E28CE"/>
    <w:rsid w:val="007E361C"/>
    <w:rsid w:val="007E66E2"/>
    <w:rsid w:val="007E7B60"/>
    <w:rsid w:val="007F013F"/>
    <w:rsid w:val="007F112C"/>
    <w:rsid w:val="007F1D61"/>
    <w:rsid w:val="007F35DD"/>
    <w:rsid w:val="007F5934"/>
    <w:rsid w:val="00803C49"/>
    <w:rsid w:val="00807663"/>
    <w:rsid w:val="00813C0E"/>
    <w:rsid w:val="00815E05"/>
    <w:rsid w:val="0081670C"/>
    <w:rsid w:val="00816EBE"/>
    <w:rsid w:val="008214BC"/>
    <w:rsid w:val="00821ED1"/>
    <w:rsid w:val="008346FF"/>
    <w:rsid w:val="008378CB"/>
    <w:rsid w:val="008426FB"/>
    <w:rsid w:val="00843013"/>
    <w:rsid w:val="0084403E"/>
    <w:rsid w:val="00844D0D"/>
    <w:rsid w:val="00846423"/>
    <w:rsid w:val="008473E6"/>
    <w:rsid w:val="00847FFC"/>
    <w:rsid w:val="00851B42"/>
    <w:rsid w:val="0085218A"/>
    <w:rsid w:val="008526D8"/>
    <w:rsid w:val="008545AF"/>
    <w:rsid w:val="00855236"/>
    <w:rsid w:val="00856F7C"/>
    <w:rsid w:val="00860361"/>
    <w:rsid w:val="00860E7B"/>
    <w:rsid w:val="00862427"/>
    <w:rsid w:val="00863F32"/>
    <w:rsid w:val="00867214"/>
    <w:rsid w:val="00873BBF"/>
    <w:rsid w:val="00877ED4"/>
    <w:rsid w:val="008821BB"/>
    <w:rsid w:val="00882668"/>
    <w:rsid w:val="008834D2"/>
    <w:rsid w:val="00885999"/>
    <w:rsid w:val="00897BC5"/>
    <w:rsid w:val="008B0EE7"/>
    <w:rsid w:val="008B1DF2"/>
    <w:rsid w:val="008B397C"/>
    <w:rsid w:val="008B4E08"/>
    <w:rsid w:val="008B4E35"/>
    <w:rsid w:val="008B504E"/>
    <w:rsid w:val="008B51C4"/>
    <w:rsid w:val="008B60E1"/>
    <w:rsid w:val="008B6106"/>
    <w:rsid w:val="008C1B42"/>
    <w:rsid w:val="008C276E"/>
    <w:rsid w:val="008D197E"/>
    <w:rsid w:val="008D1E26"/>
    <w:rsid w:val="008D5CCB"/>
    <w:rsid w:val="008E0AC6"/>
    <w:rsid w:val="008E1FCC"/>
    <w:rsid w:val="008E215F"/>
    <w:rsid w:val="008E2940"/>
    <w:rsid w:val="008E7718"/>
    <w:rsid w:val="008F30E0"/>
    <w:rsid w:val="008F67F6"/>
    <w:rsid w:val="008F6CAD"/>
    <w:rsid w:val="00900EC0"/>
    <w:rsid w:val="00901E68"/>
    <w:rsid w:val="009041F2"/>
    <w:rsid w:val="00907920"/>
    <w:rsid w:val="00910561"/>
    <w:rsid w:val="009111B9"/>
    <w:rsid w:val="009114F3"/>
    <w:rsid w:val="0091163A"/>
    <w:rsid w:val="00912979"/>
    <w:rsid w:val="00913142"/>
    <w:rsid w:val="009137CF"/>
    <w:rsid w:val="009149BD"/>
    <w:rsid w:val="00923CE9"/>
    <w:rsid w:val="00924B35"/>
    <w:rsid w:val="00924EA9"/>
    <w:rsid w:val="00926797"/>
    <w:rsid w:val="009306D5"/>
    <w:rsid w:val="009317A8"/>
    <w:rsid w:val="0093349D"/>
    <w:rsid w:val="009406D8"/>
    <w:rsid w:val="0094326E"/>
    <w:rsid w:val="00945B2E"/>
    <w:rsid w:val="00950785"/>
    <w:rsid w:val="00952233"/>
    <w:rsid w:val="00952AA7"/>
    <w:rsid w:val="009542C0"/>
    <w:rsid w:val="0095530C"/>
    <w:rsid w:val="00956ACC"/>
    <w:rsid w:val="00956B0B"/>
    <w:rsid w:val="009603CD"/>
    <w:rsid w:val="00960D73"/>
    <w:rsid w:val="00961F04"/>
    <w:rsid w:val="009662A7"/>
    <w:rsid w:val="009677FD"/>
    <w:rsid w:val="0097524E"/>
    <w:rsid w:val="00976F5E"/>
    <w:rsid w:val="00977489"/>
    <w:rsid w:val="00981537"/>
    <w:rsid w:val="0098282F"/>
    <w:rsid w:val="00983042"/>
    <w:rsid w:val="00995016"/>
    <w:rsid w:val="009A34DA"/>
    <w:rsid w:val="009A6B77"/>
    <w:rsid w:val="009A6EFC"/>
    <w:rsid w:val="009B13E2"/>
    <w:rsid w:val="009B557E"/>
    <w:rsid w:val="009B75FE"/>
    <w:rsid w:val="009C3891"/>
    <w:rsid w:val="009C3C4D"/>
    <w:rsid w:val="009C4A33"/>
    <w:rsid w:val="009D03A8"/>
    <w:rsid w:val="009D20A7"/>
    <w:rsid w:val="009D3B65"/>
    <w:rsid w:val="009D5334"/>
    <w:rsid w:val="009D7287"/>
    <w:rsid w:val="009E4229"/>
    <w:rsid w:val="009F4DE9"/>
    <w:rsid w:val="009F73EA"/>
    <w:rsid w:val="00A01784"/>
    <w:rsid w:val="00A018CC"/>
    <w:rsid w:val="00A01D38"/>
    <w:rsid w:val="00A03C1F"/>
    <w:rsid w:val="00A111A9"/>
    <w:rsid w:val="00A11BC4"/>
    <w:rsid w:val="00A11F2F"/>
    <w:rsid w:val="00A13012"/>
    <w:rsid w:val="00A252CA"/>
    <w:rsid w:val="00A33C6E"/>
    <w:rsid w:val="00A34B56"/>
    <w:rsid w:val="00A3562A"/>
    <w:rsid w:val="00A37878"/>
    <w:rsid w:val="00A37FEC"/>
    <w:rsid w:val="00A40B48"/>
    <w:rsid w:val="00A411E5"/>
    <w:rsid w:val="00A41A85"/>
    <w:rsid w:val="00A42348"/>
    <w:rsid w:val="00A44F70"/>
    <w:rsid w:val="00A46630"/>
    <w:rsid w:val="00A47427"/>
    <w:rsid w:val="00A50D09"/>
    <w:rsid w:val="00A51186"/>
    <w:rsid w:val="00A5482D"/>
    <w:rsid w:val="00A56646"/>
    <w:rsid w:val="00A60A47"/>
    <w:rsid w:val="00A6676B"/>
    <w:rsid w:val="00A71DD6"/>
    <w:rsid w:val="00A7708B"/>
    <w:rsid w:val="00A77C5E"/>
    <w:rsid w:val="00A80F5C"/>
    <w:rsid w:val="00A82918"/>
    <w:rsid w:val="00A849EA"/>
    <w:rsid w:val="00A84B3E"/>
    <w:rsid w:val="00A8575D"/>
    <w:rsid w:val="00A86D3B"/>
    <w:rsid w:val="00A92442"/>
    <w:rsid w:val="00A928F8"/>
    <w:rsid w:val="00A93B4B"/>
    <w:rsid w:val="00AA0282"/>
    <w:rsid w:val="00AA2ABE"/>
    <w:rsid w:val="00AB0309"/>
    <w:rsid w:val="00AB3A4F"/>
    <w:rsid w:val="00AC03D5"/>
    <w:rsid w:val="00AC3D7F"/>
    <w:rsid w:val="00AC6528"/>
    <w:rsid w:val="00AD6DE6"/>
    <w:rsid w:val="00AD6E2A"/>
    <w:rsid w:val="00AD7D06"/>
    <w:rsid w:val="00AE0771"/>
    <w:rsid w:val="00AE2DBB"/>
    <w:rsid w:val="00AF0082"/>
    <w:rsid w:val="00AF023B"/>
    <w:rsid w:val="00AF3906"/>
    <w:rsid w:val="00AF3E2E"/>
    <w:rsid w:val="00AF5D87"/>
    <w:rsid w:val="00AF71E9"/>
    <w:rsid w:val="00B00CC3"/>
    <w:rsid w:val="00B071C9"/>
    <w:rsid w:val="00B07596"/>
    <w:rsid w:val="00B12A99"/>
    <w:rsid w:val="00B15FC5"/>
    <w:rsid w:val="00B23A59"/>
    <w:rsid w:val="00B2696F"/>
    <w:rsid w:val="00B3031C"/>
    <w:rsid w:val="00B308B2"/>
    <w:rsid w:val="00B335D4"/>
    <w:rsid w:val="00B342FA"/>
    <w:rsid w:val="00B34B71"/>
    <w:rsid w:val="00B359F8"/>
    <w:rsid w:val="00B429F5"/>
    <w:rsid w:val="00B44931"/>
    <w:rsid w:val="00B44E7A"/>
    <w:rsid w:val="00B455B8"/>
    <w:rsid w:val="00B45FAE"/>
    <w:rsid w:val="00B47B8C"/>
    <w:rsid w:val="00B51B08"/>
    <w:rsid w:val="00B540C9"/>
    <w:rsid w:val="00B542B3"/>
    <w:rsid w:val="00B56BB1"/>
    <w:rsid w:val="00B645CE"/>
    <w:rsid w:val="00B649AE"/>
    <w:rsid w:val="00B66349"/>
    <w:rsid w:val="00B71FC3"/>
    <w:rsid w:val="00B759E8"/>
    <w:rsid w:val="00B8060B"/>
    <w:rsid w:val="00B81204"/>
    <w:rsid w:val="00B86DA8"/>
    <w:rsid w:val="00B87D89"/>
    <w:rsid w:val="00B9135A"/>
    <w:rsid w:val="00B96AD9"/>
    <w:rsid w:val="00BB23BD"/>
    <w:rsid w:val="00BB42CA"/>
    <w:rsid w:val="00BB79B8"/>
    <w:rsid w:val="00BC116C"/>
    <w:rsid w:val="00BC35A0"/>
    <w:rsid w:val="00BC59F7"/>
    <w:rsid w:val="00BD0D55"/>
    <w:rsid w:val="00BD25CE"/>
    <w:rsid w:val="00BD46A6"/>
    <w:rsid w:val="00BD7456"/>
    <w:rsid w:val="00BE06AB"/>
    <w:rsid w:val="00BE3B2C"/>
    <w:rsid w:val="00BE419F"/>
    <w:rsid w:val="00BE4FA0"/>
    <w:rsid w:val="00BE5520"/>
    <w:rsid w:val="00BF10C1"/>
    <w:rsid w:val="00BF7921"/>
    <w:rsid w:val="00C03783"/>
    <w:rsid w:val="00C078F5"/>
    <w:rsid w:val="00C102C6"/>
    <w:rsid w:val="00C16344"/>
    <w:rsid w:val="00C209B8"/>
    <w:rsid w:val="00C22707"/>
    <w:rsid w:val="00C34E6C"/>
    <w:rsid w:val="00C35998"/>
    <w:rsid w:val="00C35E39"/>
    <w:rsid w:val="00C46291"/>
    <w:rsid w:val="00C46734"/>
    <w:rsid w:val="00C5175D"/>
    <w:rsid w:val="00C535D7"/>
    <w:rsid w:val="00C5430E"/>
    <w:rsid w:val="00C54908"/>
    <w:rsid w:val="00C54957"/>
    <w:rsid w:val="00C54BF2"/>
    <w:rsid w:val="00C57FB8"/>
    <w:rsid w:val="00C651BD"/>
    <w:rsid w:val="00C65CD1"/>
    <w:rsid w:val="00C66735"/>
    <w:rsid w:val="00C7715D"/>
    <w:rsid w:val="00C77FA0"/>
    <w:rsid w:val="00C80C2A"/>
    <w:rsid w:val="00C86935"/>
    <w:rsid w:val="00C90E98"/>
    <w:rsid w:val="00C92705"/>
    <w:rsid w:val="00C9424B"/>
    <w:rsid w:val="00C97A6A"/>
    <w:rsid w:val="00CA11E6"/>
    <w:rsid w:val="00CA3A5B"/>
    <w:rsid w:val="00CA53B3"/>
    <w:rsid w:val="00CA6FFB"/>
    <w:rsid w:val="00CB038F"/>
    <w:rsid w:val="00CB27AF"/>
    <w:rsid w:val="00CB364B"/>
    <w:rsid w:val="00CB72D7"/>
    <w:rsid w:val="00CC0467"/>
    <w:rsid w:val="00CD08B0"/>
    <w:rsid w:val="00CD0A5A"/>
    <w:rsid w:val="00CD141C"/>
    <w:rsid w:val="00CD19C1"/>
    <w:rsid w:val="00CD1B15"/>
    <w:rsid w:val="00CD242E"/>
    <w:rsid w:val="00CD487C"/>
    <w:rsid w:val="00CE1236"/>
    <w:rsid w:val="00CE7831"/>
    <w:rsid w:val="00CF31DC"/>
    <w:rsid w:val="00CF7405"/>
    <w:rsid w:val="00D0163C"/>
    <w:rsid w:val="00D02524"/>
    <w:rsid w:val="00D05EB0"/>
    <w:rsid w:val="00D104E9"/>
    <w:rsid w:val="00D142BA"/>
    <w:rsid w:val="00D24664"/>
    <w:rsid w:val="00D26982"/>
    <w:rsid w:val="00D2698D"/>
    <w:rsid w:val="00D31ABB"/>
    <w:rsid w:val="00D33B59"/>
    <w:rsid w:val="00D35D0D"/>
    <w:rsid w:val="00D36C84"/>
    <w:rsid w:val="00D375E4"/>
    <w:rsid w:val="00D409DF"/>
    <w:rsid w:val="00D419F4"/>
    <w:rsid w:val="00D42839"/>
    <w:rsid w:val="00D46BD8"/>
    <w:rsid w:val="00D46CA8"/>
    <w:rsid w:val="00D5178C"/>
    <w:rsid w:val="00D51BFD"/>
    <w:rsid w:val="00D536C9"/>
    <w:rsid w:val="00D55285"/>
    <w:rsid w:val="00D60495"/>
    <w:rsid w:val="00D7071F"/>
    <w:rsid w:val="00D70E98"/>
    <w:rsid w:val="00D70F8B"/>
    <w:rsid w:val="00D74127"/>
    <w:rsid w:val="00D80E16"/>
    <w:rsid w:val="00D81E64"/>
    <w:rsid w:val="00D82728"/>
    <w:rsid w:val="00D8278A"/>
    <w:rsid w:val="00D84BDC"/>
    <w:rsid w:val="00D906B0"/>
    <w:rsid w:val="00D90DA7"/>
    <w:rsid w:val="00D92BFD"/>
    <w:rsid w:val="00D945AD"/>
    <w:rsid w:val="00DA3F20"/>
    <w:rsid w:val="00DA7150"/>
    <w:rsid w:val="00DA7231"/>
    <w:rsid w:val="00DA7EA1"/>
    <w:rsid w:val="00DB5AC4"/>
    <w:rsid w:val="00DC213F"/>
    <w:rsid w:val="00DC5099"/>
    <w:rsid w:val="00DC5694"/>
    <w:rsid w:val="00DD054A"/>
    <w:rsid w:val="00DD2DCD"/>
    <w:rsid w:val="00DD5EA3"/>
    <w:rsid w:val="00DD688A"/>
    <w:rsid w:val="00DF0117"/>
    <w:rsid w:val="00DF43E2"/>
    <w:rsid w:val="00DF51C3"/>
    <w:rsid w:val="00DF7437"/>
    <w:rsid w:val="00E00BB3"/>
    <w:rsid w:val="00E02031"/>
    <w:rsid w:val="00E05E4F"/>
    <w:rsid w:val="00E20A7B"/>
    <w:rsid w:val="00E20FC7"/>
    <w:rsid w:val="00E24586"/>
    <w:rsid w:val="00E24805"/>
    <w:rsid w:val="00E262E1"/>
    <w:rsid w:val="00E327B0"/>
    <w:rsid w:val="00E333B8"/>
    <w:rsid w:val="00E350A9"/>
    <w:rsid w:val="00E41F15"/>
    <w:rsid w:val="00E446F0"/>
    <w:rsid w:val="00E46B9A"/>
    <w:rsid w:val="00E46DD8"/>
    <w:rsid w:val="00E55688"/>
    <w:rsid w:val="00E56661"/>
    <w:rsid w:val="00E56C72"/>
    <w:rsid w:val="00E57408"/>
    <w:rsid w:val="00E77E06"/>
    <w:rsid w:val="00E852B1"/>
    <w:rsid w:val="00E862D2"/>
    <w:rsid w:val="00E90554"/>
    <w:rsid w:val="00E90996"/>
    <w:rsid w:val="00E92C3B"/>
    <w:rsid w:val="00E934F3"/>
    <w:rsid w:val="00E9427A"/>
    <w:rsid w:val="00E97966"/>
    <w:rsid w:val="00EA1877"/>
    <w:rsid w:val="00EA27C1"/>
    <w:rsid w:val="00EA4124"/>
    <w:rsid w:val="00EA62BF"/>
    <w:rsid w:val="00EA7B27"/>
    <w:rsid w:val="00EB1347"/>
    <w:rsid w:val="00EB5B1D"/>
    <w:rsid w:val="00EC04A5"/>
    <w:rsid w:val="00EC0A44"/>
    <w:rsid w:val="00EC141C"/>
    <w:rsid w:val="00EC2375"/>
    <w:rsid w:val="00EC2847"/>
    <w:rsid w:val="00EC5DF2"/>
    <w:rsid w:val="00EC5DFA"/>
    <w:rsid w:val="00EC6B39"/>
    <w:rsid w:val="00ED2ED5"/>
    <w:rsid w:val="00ED367F"/>
    <w:rsid w:val="00ED4947"/>
    <w:rsid w:val="00ED4F2A"/>
    <w:rsid w:val="00ED5859"/>
    <w:rsid w:val="00ED5C0F"/>
    <w:rsid w:val="00ED6443"/>
    <w:rsid w:val="00ED6B41"/>
    <w:rsid w:val="00ED7BD3"/>
    <w:rsid w:val="00EE1F84"/>
    <w:rsid w:val="00EE234E"/>
    <w:rsid w:val="00EE478B"/>
    <w:rsid w:val="00EE4F2D"/>
    <w:rsid w:val="00EE5748"/>
    <w:rsid w:val="00EE577F"/>
    <w:rsid w:val="00EE5CF9"/>
    <w:rsid w:val="00EE5F17"/>
    <w:rsid w:val="00EF0F90"/>
    <w:rsid w:val="00EF2137"/>
    <w:rsid w:val="00F02A66"/>
    <w:rsid w:val="00F0337B"/>
    <w:rsid w:val="00F039EA"/>
    <w:rsid w:val="00F041FE"/>
    <w:rsid w:val="00F042DB"/>
    <w:rsid w:val="00F05E23"/>
    <w:rsid w:val="00F0603F"/>
    <w:rsid w:val="00F1279C"/>
    <w:rsid w:val="00F12F89"/>
    <w:rsid w:val="00F13600"/>
    <w:rsid w:val="00F1445B"/>
    <w:rsid w:val="00F15133"/>
    <w:rsid w:val="00F16E23"/>
    <w:rsid w:val="00F2300B"/>
    <w:rsid w:val="00F24EF0"/>
    <w:rsid w:val="00F2508C"/>
    <w:rsid w:val="00F26AAF"/>
    <w:rsid w:val="00F44142"/>
    <w:rsid w:val="00F50E0B"/>
    <w:rsid w:val="00F515A0"/>
    <w:rsid w:val="00F51CFC"/>
    <w:rsid w:val="00F560AE"/>
    <w:rsid w:val="00F573D1"/>
    <w:rsid w:val="00F623BC"/>
    <w:rsid w:val="00F62B9E"/>
    <w:rsid w:val="00F65311"/>
    <w:rsid w:val="00F70169"/>
    <w:rsid w:val="00F7301B"/>
    <w:rsid w:val="00F75A6E"/>
    <w:rsid w:val="00F80443"/>
    <w:rsid w:val="00F81122"/>
    <w:rsid w:val="00F83290"/>
    <w:rsid w:val="00F9620D"/>
    <w:rsid w:val="00FA1569"/>
    <w:rsid w:val="00FA2585"/>
    <w:rsid w:val="00FA318A"/>
    <w:rsid w:val="00FA4825"/>
    <w:rsid w:val="00FB2EB8"/>
    <w:rsid w:val="00FB3086"/>
    <w:rsid w:val="00FB4DA6"/>
    <w:rsid w:val="00FC07A6"/>
    <w:rsid w:val="00FC272A"/>
    <w:rsid w:val="00FC439A"/>
    <w:rsid w:val="00FC6F50"/>
    <w:rsid w:val="00FD0F4E"/>
    <w:rsid w:val="00FD150F"/>
    <w:rsid w:val="00FD2046"/>
    <w:rsid w:val="00FD543B"/>
    <w:rsid w:val="00FD5EB1"/>
    <w:rsid w:val="00FD602A"/>
    <w:rsid w:val="00FE1041"/>
    <w:rsid w:val="00FE351F"/>
    <w:rsid w:val="00FE3C23"/>
    <w:rsid w:val="00FE59E2"/>
    <w:rsid w:val="00FF0B7D"/>
    <w:rsid w:val="00FF3F2E"/>
    <w:rsid w:val="00FF40B3"/>
    <w:rsid w:val="00FF57F0"/>
    <w:rsid w:val="03411135"/>
    <w:rsid w:val="05F03FB4"/>
    <w:rsid w:val="05F8255E"/>
    <w:rsid w:val="093A453F"/>
    <w:rsid w:val="0AE676AB"/>
    <w:rsid w:val="116021A5"/>
    <w:rsid w:val="1C5C2F95"/>
    <w:rsid w:val="1CB560DD"/>
    <w:rsid w:val="1CF741FA"/>
    <w:rsid w:val="1EC16047"/>
    <w:rsid w:val="20BA290D"/>
    <w:rsid w:val="25744FE5"/>
    <w:rsid w:val="2B7005EE"/>
    <w:rsid w:val="2BFB5128"/>
    <w:rsid w:val="2D6056EC"/>
    <w:rsid w:val="2F7F610E"/>
    <w:rsid w:val="353B4C5E"/>
    <w:rsid w:val="3720190B"/>
    <w:rsid w:val="3F5BCE85"/>
    <w:rsid w:val="49461504"/>
    <w:rsid w:val="4AE40D51"/>
    <w:rsid w:val="541A0B6E"/>
    <w:rsid w:val="570E4A41"/>
    <w:rsid w:val="592022AB"/>
    <w:rsid w:val="5DE06014"/>
    <w:rsid w:val="62E21B9A"/>
    <w:rsid w:val="6BA918F3"/>
    <w:rsid w:val="71921740"/>
    <w:rsid w:val="7965702B"/>
    <w:rsid w:val="7A265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600" w:lineRule="exact"/>
      <w:ind w:firstLine="200" w:firstLineChars="200"/>
    </w:pPr>
    <w:rPr>
      <w:rFonts w:eastAsia="仿宋_GB2312" w:asciiTheme="minorHAnsi" w:hAnsiTheme="minorHAnsi" w:cstheme="minorBidi"/>
      <w:kern w:val="2"/>
      <w:sz w:val="32"/>
      <w:szCs w:val="22"/>
      <w:lang w:val="en-US" w:eastAsia="zh-CN" w:bidi="ar-SA"/>
    </w:rPr>
  </w:style>
  <w:style w:type="paragraph" w:styleId="3">
    <w:name w:val="heading 1"/>
    <w:basedOn w:val="1"/>
    <w:next w:val="1"/>
    <w:link w:val="25"/>
    <w:qFormat/>
    <w:uiPriority w:val="0"/>
    <w:pPr>
      <w:keepNext/>
      <w:keepLines/>
      <w:numPr>
        <w:ilvl w:val="0"/>
        <w:numId w:val="1"/>
      </w:numPr>
      <w:ind w:left="0" w:firstLine="0" w:firstLineChars="0"/>
      <w:jc w:val="center"/>
      <w:outlineLvl w:val="0"/>
    </w:pPr>
    <w:rPr>
      <w:rFonts w:ascii="Calibri" w:hAnsi="Calibri" w:eastAsia="方正小标宋简体" w:cs="Times New Roman"/>
      <w:kern w:val="44"/>
      <w:sz w:val="36"/>
      <w:szCs w:val="44"/>
    </w:rPr>
  </w:style>
  <w:style w:type="paragraph" w:styleId="4">
    <w:name w:val="heading 2"/>
    <w:next w:val="1"/>
    <w:link w:val="24"/>
    <w:unhideWhenUsed/>
    <w:qFormat/>
    <w:uiPriority w:val="0"/>
    <w:pPr>
      <w:keepNext/>
      <w:keepLines/>
      <w:numPr>
        <w:ilvl w:val="0"/>
        <w:numId w:val="2"/>
      </w:numPr>
      <w:adjustRightInd w:val="0"/>
      <w:snapToGrid w:val="0"/>
      <w:spacing w:line="600" w:lineRule="exact"/>
      <w:jc w:val="center"/>
      <w:outlineLvl w:val="1"/>
    </w:pPr>
    <w:rPr>
      <w:rFonts w:ascii="宋体" w:hAnsi="宋体" w:eastAsia="黑体" w:cstheme="majorBidi"/>
      <w:bCs/>
      <w:kern w:val="2"/>
      <w:sz w:val="32"/>
      <w:szCs w:val="32"/>
      <w:lang w:val="en-US" w:eastAsia="zh-CN" w:bidi="ar-SA"/>
    </w:rPr>
  </w:style>
  <w:style w:type="paragraph" w:styleId="5">
    <w:name w:val="heading 3"/>
    <w:next w:val="1"/>
    <w:link w:val="26"/>
    <w:unhideWhenUsed/>
    <w:qFormat/>
    <w:uiPriority w:val="9"/>
    <w:pPr>
      <w:keepNext/>
      <w:keepLines/>
      <w:numPr>
        <w:ilvl w:val="0"/>
        <w:numId w:val="3"/>
      </w:numPr>
      <w:adjustRightInd w:val="0"/>
      <w:snapToGrid w:val="0"/>
      <w:spacing w:line="600" w:lineRule="exact"/>
      <w:outlineLvl w:val="2"/>
    </w:pPr>
    <w:rPr>
      <w:rFonts w:ascii="楷体_GB2312" w:hAnsi="微软雅黑" w:eastAsia="仿宋_GB2312" w:cstheme="minorBidi"/>
      <w:b/>
      <w:bCs/>
      <w:kern w:val="2"/>
      <w:sz w:val="32"/>
      <w:szCs w:val="32"/>
      <w:lang w:val="en-US" w:eastAsia="zh-CN" w:bidi="ar-SA"/>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引文目录1"/>
    <w:basedOn w:val="1"/>
    <w:next w:val="1"/>
    <w:qFormat/>
    <w:uiPriority w:val="0"/>
    <w:pPr>
      <w:spacing w:before="100" w:beforeAutospacing="1" w:after="100" w:afterAutospacing="1" w:line="240" w:lineRule="auto"/>
      <w:ind w:left="420" w:leftChars="200" w:firstLine="0" w:firstLineChars="0"/>
    </w:pPr>
    <w:rPr>
      <w:rFonts w:ascii="Times New Roman" w:hAnsi="Times New Roman" w:eastAsia="宋体" w:cs="Times New Roman"/>
      <w:sz w:val="21"/>
      <w:szCs w:val="21"/>
    </w:rPr>
  </w:style>
  <w:style w:type="paragraph" w:styleId="6">
    <w:name w:val="toc 7"/>
    <w:basedOn w:val="1"/>
    <w:next w:val="1"/>
    <w:unhideWhenUsed/>
    <w:qFormat/>
    <w:uiPriority w:val="39"/>
    <w:pPr>
      <w:adjustRightInd/>
      <w:snapToGrid/>
      <w:spacing w:line="240" w:lineRule="auto"/>
      <w:ind w:left="2520" w:leftChars="1200" w:firstLine="0" w:firstLineChars="0"/>
      <w:jc w:val="both"/>
    </w:pPr>
    <w:rPr>
      <w:rFonts w:eastAsiaTheme="minorEastAsia"/>
      <w:sz w:val="21"/>
      <w14:ligatures w14:val="standardContextual"/>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toc 5"/>
    <w:basedOn w:val="1"/>
    <w:next w:val="1"/>
    <w:unhideWhenUsed/>
    <w:qFormat/>
    <w:uiPriority w:val="39"/>
    <w:pPr>
      <w:adjustRightInd/>
      <w:snapToGrid/>
      <w:spacing w:line="240" w:lineRule="auto"/>
      <w:ind w:left="1680" w:leftChars="800" w:firstLine="0" w:firstLineChars="0"/>
      <w:jc w:val="both"/>
    </w:pPr>
    <w:rPr>
      <w:rFonts w:eastAsiaTheme="minorEastAsia"/>
      <w:sz w:val="21"/>
      <w14:ligatures w14:val="standardContextual"/>
    </w:rPr>
  </w:style>
  <w:style w:type="paragraph" w:styleId="9">
    <w:name w:val="toc 3"/>
    <w:basedOn w:val="1"/>
    <w:next w:val="1"/>
    <w:unhideWhenUsed/>
    <w:qFormat/>
    <w:uiPriority w:val="39"/>
    <w:pPr>
      <w:ind w:left="840" w:leftChars="400"/>
    </w:pPr>
  </w:style>
  <w:style w:type="paragraph" w:styleId="10">
    <w:name w:val="toc 8"/>
    <w:basedOn w:val="1"/>
    <w:next w:val="1"/>
    <w:unhideWhenUsed/>
    <w:qFormat/>
    <w:uiPriority w:val="39"/>
    <w:pPr>
      <w:adjustRightInd/>
      <w:snapToGrid/>
      <w:spacing w:line="240" w:lineRule="auto"/>
      <w:ind w:left="2940" w:leftChars="1400" w:firstLine="0" w:firstLineChars="0"/>
      <w:jc w:val="both"/>
    </w:pPr>
    <w:rPr>
      <w:rFonts w:eastAsiaTheme="minorEastAsia"/>
      <w:sz w:val="21"/>
      <w14:ligatures w14:val="standardContextual"/>
    </w:rPr>
  </w:style>
  <w:style w:type="paragraph" w:styleId="11">
    <w:name w:val="footer"/>
    <w:basedOn w:val="1"/>
    <w:link w:val="28"/>
    <w:unhideWhenUsed/>
    <w:qFormat/>
    <w:uiPriority w:val="99"/>
    <w:pPr>
      <w:tabs>
        <w:tab w:val="center" w:pos="4153"/>
        <w:tab w:val="right" w:pos="8306"/>
      </w:tabs>
      <w:spacing w:line="240" w:lineRule="auto"/>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qFormat/>
    <w:uiPriority w:val="39"/>
    <w:pPr>
      <w:adjustRightInd/>
      <w:snapToGrid/>
      <w:spacing w:line="240" w:lineRule="auto"/>
      <w:ind w:left="1260" w:leftChars="600" w:firstLine="0" w:firstLineChars="0"/>
      <w:jc w:val="both"/>
    </w:pPr>
    <w:rPr>
      <w:rFonts w:eastAsiaTheme="minorEastAsia"/>
      <w:sz w:val="21"/>
      <w14:ligatures w14:val="standardContextual"/>
    </w:rPr>
  </w:style>
  <w:style w:type="paragraph" w:styleId="15">
    <w:name w:val="Subtitle"/>
    <w:basedOn w:val="1"/>
    <w:next w:val="1"/>
    <w:link w:val="36"/>
    <w:qFormat/>
    <w:uiPriority w:val="11"/>
    <w:pPr>
      <w:spacing w:before="240" w:after="60" w:line="312" w:lineRule="atLeast"/>
      <w:jc w:val="center"/>
      <w:outlineLvl w:val="1"/>
    </w:pPr>
    <w:rPr>
      <w:rFonts w:eastAsiaTheme="minorEastAsia"/>
      <w:b/>
      <w:bCs/>
      <w:kern w:val="28"/>
      <w:szCs w:val="32"/>
    </w:rPr>
  </w:style>
  <w:style w:type="paragraph" w:styleId="16">
    <w:name w:val="toc 6"/>
    <w:basedOn w:val="1"/>
    <w:next w:val="1"/>
    <w:unhideWhenUsed/>
    <w:qFormat/>
    <w:uiPriority w:val="39"/>
    <w:pPr>
      <w:adjustRightInd/>
      <w:snapToGrid/>
      <w:spacing w:line="240" w:lineRule="auto"/>
      <w:ind w:left="2100" w:leftChars="1000" w:firstLine="0" w:firstLineChars="0"/>
      <w:jc w:val="both"/>
    </w:pPr>
    <w:rPr>
      <w:rFonts w:eastAsiaTheme="minorEastAsia"/>
      <w:sz w:val="21"/>
      <w14:ligatures w14:val="standardContextual"/>
    </w:rPr>
  </w:style>
  <w:style w:type="paragraph" w:styleId="17">
    <w:name w:val="toc 2"/>
    <w:basedOn w:val="1"/>
    <w:next w:val="1"/>
    <w:unhideWhenUsed/>
    <w:qFormat/>
    <w:uiPriority w:val="39"/>
    <w:pPr>
      <w:ind w:left="420" w:leftChars="200"/>
    </w:pPr>
  </w:style>
  <w:style w:type="paragraph" w:styleId="18">
    <w:name w:val="toc 9"/>
    <w:basedOn w:val="1"/>
    <w:next w:val="1"/>
    <w:unhideWhenUsed/>
    <w:qFormat/>
    <w:uiPriority w:val="39"/>
    <w:pPr>
      <w:adjustRightInd/>
      <w:snapToGrid/>
      <w:spacing w:line="240" w:lineRule="auto"/>
      <w:ind w:left="3360" w:leftChars="1600" w:firstLine="0" w:firstLineChars="0"/>
      <w:jc w:val="both"/>
    </w:pPr>
    <w:rPr>
      <w:rFonts w:eastAsiaTheme="minorEastAsia"/>
      <w:sz w:val="21"/>
      <w14:ligatures w14:val="standardContextual"/>
    </w:rPr>
  </w:style>
  <w:style w:type="table" w:styleId="20">
    <w:name w:val="Table Grid"/>
    <w:basedOn w:val="19"/>
    <w:qFormat/>
    <w:uiPriority w:val="3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Emphasis"/>
    <w:basedOn w:val="21"/>
    <w:qFormat/>
    <w:uiPriority w:val="20"/>
    <w:rPr>
      <w:i/>
    </w:rPr>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customStyle="1" w:styleId="24">
    <w:name w:val="标题 2 字符"/>
    <w:basedOn w:val="21"/>
    <w:link w:val="4"/>
    <w:qFormat/>
    <w:uiPriority w:val="0"/>
    <w:rPr>
      <w:rFonts w:ascii="宋体" w:hAnsi="宋体" w:eastAsia="黑体" w:cstheme="majorBidi"/>
      <w:bCs/>
      <w:kern w:val="2"/>
      <w:sz w:val="32"/>
      <w:szCs w:val="32"/>
    </w:rPr>
  </w:style>
  <w:style w:type="character" w:customStyle="1" w:styleId="25">
    <w:name w:val="标题 1 字符"/>
    <w:basedOn w:val="21"/>
    <w:link w:val="3"/>
    <w:qFormat/>
    <w:uiPriority w:val="0"/>
    <w:rPr>
      <w:rFonts w:ascii="Calibri" w:hAnsi="Calibri" w:eastAsia="方正小标宋简体"/>
      <w:kern w:val="44"/>
      <w:sz w:val="36"/>
      <w:szCs w:val="44"/>
    </w:rPr>
  </w:style>
  <w:style w:type="character" w:customStyle="1" w:styleId="26">
    <w:name w:val="标题 3 字符"/>
    <w:basedOn w:val="21"/>
    <w:link w:val="5"/>
    <w:qFormat/>
    <w:uiPriority w:val="9"/>
    <w:rPr>
      <w:rFonts w:ascii="楷体_GB2312" w:hAnsi="微软雅黑" w:eastAsia="仿宋_GB2312" w:cstheme="minorBidi"/>
      <w:b/>
      <w:bCs/>
      <w:kern w:val="2"/>
      <w:sz w:val="32"/>
      <w:szCs w:val="32"/>
    </w:rPr>
  </w:style>
  <w:style w:type="character" w:customStyle="1" w:styleId="27">
    <w:name w:val="页眉 字符"/>
    <w:basedOn w:val="21"/>
    <w:link w:val="12"/>
    <w:qFormat/>
    <w:uiPriority w:val="99"/>
    <w:rPr>
      <w:rFonts w:eastAsia="仿宋"/>
      <w:kern w:val="2"/>
      <w:sz w:val="18"/>
      <w:szCs w:val="18"/>
    </w:rPr>
  </w:style>
  <w:style w:type="character" w:customStyle="1" w:styleId="28">
    <w:name w:val="页脚 字符"/>
    <w:basedOn w:val="21"/>
    <w:link w:val="11"/>
    <w:qFormat/>
    <w:uiPriority w:val="99"/>
    <w:rPr>
      <w:rFonts w:eastAsia="仿宋"/>
      <w:kern w:val="2"/>
      <w:sz w:val="18"/>
      <w:szCs w:val="18"/>
    </w:rPr>
  </w:style>
  <w:style w:type="paragraph" w:customStyle="1" w:styleId="29">
    <w:name w:val="111图说"/>
    <w:basedOn w:val="1"/>
    <w:link w:val="30"/>
    <w:qFormat/>
    <w:uiPriority w:val="0"/>
    <w:pPr>
      <w:spacing w:line="320" w:lineRule="exact"/>
      <w:ind w:firstLine="0" w:firstLineChars="0"/>
      <w:jc w:val="center"/>
    </w:pPr>
    <w:rPr>
      <w:rFonts w:ascii="Times New Roman" w:hAnsi="Times New Roman" w:cs="Times New Roman"/>
      <w:b/>
      <w:bCs/>
      <w:kern w:val="0"/>
      <w:szCs w:val="30"/>
    </w:rPr>
  </w:style>
  <w:style w:type="character" w:customStyle="1" w:styleId="30">
    <w:name w:val="111图说 字符"/>
    <w:basedOn w:val="21"/>
    <w:link w:val="29"/>
    <w:qFormat/>
    <w:uiPriority w:val="0"/>
    <w:rPr>
      <w:rFonts w:ascii="Times New Roman" w:hAnsi="Times New Roman" w:eastAsia="仿宋_GB2312" w:cs="Times New Roman"/>
      <w:b/>
      <w:bCs/>
      <w:sz w:val="24"/>
      <w:szCs w:val="30"/>
    </w:rPr>
  </w:style>
  <w:style w:type="paragraph" w:customStyle="1" w:styleId="31">
    <w:name w:val="111表"/>
    <w:basedOn w:val="1"/>
    <w:link w:val="32"/>
    <w:qFormat/>
    <w:uiPriority w:val="0"/>
    <w:pPr>
      <w:widowControl/>
      <w:spacing w:line="240" w:lineRule="auto"/>
      <w:ind w:firstLine="0" w:firstLineChars="0"/>
      <w:jc w:val="center"/>
    </w:pPr>
    <w:rPr>
      <w:rFonts w:ascii="仿宋_GB2312" w:hAnsi="等线" w:cs="宋体"/>
      <w:bCs/>
      <w:kern w:val="0"/>
      <w:sz w:val="21"/>
      <w:szCs w:val="30"/>
    </w:rPr>
  </w:style>
  <w:style w:type="character" w:customStyle="1" w:styleId="32">
    <w:name w:val="111表 字符"/>
    <w:basedOn w:val="21"/>
    <w:link w:val="31"/>
    <w:qFormat/>
    <w:uiPriority w:val="0"/>
    <w:rPr>
      <w:rFonts w:ascii="仿宋_GB2312" w:hAnsi="等线" w:eastAsia="仿宋_GB2312" w:cs="宋体"/>
      <w:bCs/>
      <w:sz w:val="21"/>
      <w:szCs w:val="30"/>
    </w:rPr>
  </w:style>
  <w:style w:type="paragraph" w:styleId="33">
    <w:name w:val="List Paragraph"/>
    <w:basedOn w:val="1"/>
    <w:qFormat/>
    <w:uiPriority w:val="99"/>
    <w:pPr>
      <w:ind w:firstLine="420"/>
    </w:pPr>
  </w:style>
  <w:style w:type="paragraph" w:customStyle="1" w:styleId="34">
    <w:name w:val="TOC 标题1"/>
    <w:basedOn w:val="3"/>
    <w:next w:val="1"/>
    <w:unhideWhenUsed/>
    <w:qFormat/>
    <w:uiPriority w:val="39"/>
    <w:pPr>
      <w:widowControl/>
      <w:adjustRightInd/>
      <w:snapToGrid/>
      <w:spacing w:before="240" w:line="259" w:lineRule="auto"/>
      <w:jc w:val="left"/>
      <w:outlineLvl w:val="9"/>
    </w:pPr>
    <w:rPr>
      <w:rFonts w:asciiTheme="majorHAnsi" w:hAnsiTheme="majorHAnsi" w:eastAsiaTheme="majorEastAsia" w:cstheme="majorBidi"/>
      <w:color w:val="2F5597" w:themeColor="accent1" w:themeShade="BF"/>
      <w:kern w:val="0"/>
      <w:sz w:val="32"/>
      <w:szCs w:val="32"/>
    </w:rPr>
  </w:style>
  <w:style w:type="character" w:customStyle="1" w:styleId="35">
    <w:name w:val="未处理的提及1"/>
    <w:basedOn w:val="21"/>
    <w:semiHidden/>
    <w:unhideWhenUsed/>
    <w:uiPriority w:val="99"/>
    <w:rPr>
      <w:color w:val="605E5C"/>
      <w:shd w:val="clear" w:color="auto" w:fill="E1DFDD"/>
    </w:rPr>
  </w:style>
  <w:style w:type="character" w:customStyle="1" w:styleId="36">
    <w:name w:val="副标题 字符"/>
    <w:basedOn w:val="21"/>
    <w:link w:val="15"/>
    <w:uiPriority w:val="11"/>
    <w:rPr>
      <w:rFonts w:asciiTheme="minorHAnsi" w:hAnsiTheme="minorHAnsi" w:eastAsiaTheme="minorEastAsia" w:cstheme="minorBidi"/>
      <w:b/>
      <w:bCs/>
      <w:kern w:val="28"/>
      <w:sz w:val="32"/>
      <w:szCs w:val="32"/>
    </w:rPr>
  </w:style>
  <w:style w:type="character" w:customStyle="1" w:styleId="37">
    <w:name w:val="Unresolved Mention"/>
    <w:basedOn w:val="2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47B22-DD7F-44E3-A2F6-F9278AD626CB}">
  <ds:schemaRefs/>
</ds:datastoreItem>
</file>

<file path=docProps/app.xml><?xml version="1.0" encoding="utf-8"?>
<Properties xmlns="http://schemas.openxmlformats.org/officeDocument/2006/extended-properties" xmlns:vt="http://schemas.openxmlformats.org/officeDocument/2006/docPropsVTypes">
  <Template>Normal</Template>
  <Pages>9</Pages>
  <Words>1939</Words>
  <Characters>2223</Characters>
  <Lines>16</Lines>
  <Paragraphs>4</Paragraphs>
  <TotalTime>19</TotalTime>
  <ScaleCrop>false</ScaleCrop>
  <LinksUpToDate>false</LinksUpToDate>
  <CharactersWithSpaces>2226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2023-08-02T06:27:00Z</dcterms:created>
  <dc:creator>China</dc:creator>
  <cp:lastModifiedBy>LENOVO</cp:lastModifiedBy>
  <cp:lastPrinted>2023-07-18T14:09:00Z</cp:lastPrinted>
  <dcterms:modified xsi:type="dcterms:W3CDTF">2023-08-04T01:42:12Z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31D308D3E2214D5CB266130BDF2CC769_13</vt:lpwstr>
  </property>
</Properties>
</file>